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07D5C" w14:textId="34EF8E13" w:rsidR="008D397F" w:rsidRPr="008A555A" w:rsidRDefault="009F1E72" w:rsidP="00A71D08">
      <w:pPr>
        <w:spacing w:line="276" w:lineRule="auto"/>
        <w:jc w:val="both"/>
        <w:rPr>
          <w:rFonts w:cstheme="minorHAnsi"/>
        </w:rPr>
      </w:pPr>
      <w:bookmarkStart w:id="0" w:name="_GoBack"/>
      <w:bookmarkEnd w:id="0"/>
      <w:r w:rsidRPr="008A555A">
        <w:rPr>
          <w:rFonts w:cstheme="minorHAnsi"/>
        </w:rPr>
        <w:t xml:space="preserve">Załącznik </w:t>
      </w:r>
      <w:r w:rsidR="009903BE" w:rsidRPr="008A555A">
        <w:rPr>
          <w:rFonts w:cstheme="minorHAnsi"/>
        </w:rPr>
        <w:t xml:space="preserve">do </w:t>
      </w:r>
      <w:r w:rsidR="00597AD3" w:rsidRPr="008A555A">
        <w:rPr>
          <w:rFonts w:cstheme="minorHAnsi"/>
        </w:rPr>
        <w:t>zarządzenia</w:t>
      </w:r>
      <w:r w:rsidR="00720F5A" w:rsidRPr="008A555A">
        <w:rPr>
          <w:rFonts w:cstheme="minorHAnsi"/>
        </w:rPr>
        <w:t xml:space="preserve"> nr </w:t>
      </w:r>
      <w:r w:rsidR="004F6EF4">
        <w:rPr>
          <w:rFonts w:cstheme="minorHAnsi"/>
        </w:rPr>
        <w:t>14</w:t>
      </w:r>
      <w:r w:rsidR="00965D9B" w:rsidRPr="008A555A">
        <w:rPr>
          <w:rFonts w:cstheme="minorHAnsi"/>
        </w:rPr>
        <w:t xml:space="preserve"> </w:t>
      </w:r>
      <w:r w:rsidRPr="008A555A">
        <w:rPr>
          <w:rFonts w:cstheme="minorHAnsi"/>
        </w:rPr>
        <w:t>– „Procedura zarządzania ryzykiem</w:t>
      </w:r>
      <w:r w:rsidR="00597AD3" w:rsidRPr="008A555A">
        <w:rPr>
          <w:rFonts w:cstheme="minorHAnsi"/>
        </w:rPr>
        <w:t xml:space="preserve"> naruszenia praw lub wolności osób fizycznych</w:t>
      </w:r>
      <w:r w:rsidRPr="008A555A">
        <w:rPr>
          <w:rFonts w:cstheme="minorHAnsi"/>
        </w:rPr>
        <w:t>”</w:t>
      </w:r>
    </w:p>
    <w:p w14:paraId="425EC388" w14:textId="77777777" w:rsidR="00FF5CAE" w:rsidRPr="008A555A" w:rsidRDefault="00FF5CAE" w:rsidP="00A71D08">
      <w:pPr>
        <w:spacing w:line="276" w:lineRule="auto"/>
        <w:rPr>
          <w:rFonts w:cstheme="minorHAnsi"/>
          <w:color w:val="FF0000"/>
        </w:rPr>
      </w:pPr>
    </w:p>
    <w:p w14:paraId="2E575FFC" w14:textId="77777777" w:rsidR="009F1E72" w:rsidRPr="008A555A" w:rsidRDefault="009F1E72" w:rsidP="00A71D08">
      <w:pPr>
        <w:spacing w:line="276" w:lineRule="auto"/>
        <w:jc w:val="center"/>
        <w:rPr>
          <w:rFonts w:cstheme="minorHAnsi"/>
          <w:b/>
          <w:color w:val="FF0000"/>
        </w:rPr>
      </w:pPr>
    </w:p>
    <w:p w14:paraId="5749E7BF" w14:textId="695711A4" w:rsidR="00B41CFE" w:rsidRPr="008A555A" w:rsidRDefault="004E5525" w:rsidP="00A71D08">
      <w:pPr>
        <w:spacing w:line="276" w:lineRule="auto"/>
        <w:jc w:val="center"/>
        <w:rPr>
          <w:rFonts w:cstheme="minorHAnsi"/>
          <w:b/>
        </w:rPr>
      </w:pPr>
      <w:r w:rsidRPr="008A555A">
        <w:rPr>
          <w:rFonts w:cstheme="minorHAnsi"/>
          <w:b/>
        </w:rPr>
        <w:t>PROCEDURA ZARZĄDZANIA RYZYKIEM</w:t>
      </w:r>
      <w:r w:rsidR="00597AD3" w:rsidRPr="008A555A">
        <w:rPr>
          <w:rFonts w:cstheme="minorHAnsi"/>
          <w:b/>
        </w:rPr>
        <w:t xml:space="preserve"> NARUSZENIA PRAW LUB WOLNOŚCI OSÓB FIZYCZNYCH</w:t>
      </w:r>
    </w:p>
    <w:p w14:paraId="494C6EF1" w14:textId="77777777" w:rsidR="00B41CFE" w:rsidRPr="008A555A" w:rsidRDefault="00B41CFE" w:rsidP="00A71D08">
      <w:pPr>
        <w:spacing w:line="276" w:lineRule="auto"/>
        <w:rPr>
          <w:rFonts w:cstheme="minorHAnsi"/>
        </w:rPr>
      </w:pPr>
    </w:p>
    <w:p w14:paraId="1FFA1305" w14:textId="5A74B27D" w:rsidR="00B42843" w:rsidRPr="008A555A" w:rsidRDefault="00B42843" w:rsidP="00A71D08">
      <w:pPr>
        <w:spacing w:line="276" w:lineRule="auto"/>
        <w:jc w:val="center"/>
        <w:rPr>
          <w:rFonts w:cstheme="minorHAnsi"/>
        </w:rPr>
      </w:pPr>
      <w:r w:rsidRPr="008A555A">
        <w:rPr>
          <w:rFonts w:cstheme="minorHAnsi"/>
        </w:rPr>
        <w:t>§ 1.</w:t>
      </w:r>
    </w:p>
    <w:p w14:paraId="4B6936C7" w14:textId="253D05EE" w:rsidR="00B41CFE" w:rsidRPr="008A555A" w:rsidRDefault="00B41CFE" w:rsidP="00A71D08">
      <w:p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„Procedura zarządzania ryzykiem</w:t>
      </w:r>
      <w:r w:rsidR="00597AD3" w:rsidRPr="008A555A">
        <w:rPr>
          <w:rFonts w:cstheme="minorHAnsi"/>
        </w:rPr>
        <w:t xml:space="preserve"> naruszenia praw lub wolności osób fizycznych</w:t>
      </w:r>
      <w:r w:rsidRPr="008A555A">
        <w:rPr>
          <w:rFonts w:cstheme="minorHAnsi"/>
        </w:rPr>
        <w:t xml:space="preserve">”, zwana </w:t>
      </w:r>
      <w:r w:rsidR="00597AD3" w:rsidRPr="008A555A">
        <w:rPr>
          <w:rFonts w:cstheme="minorHAnsi"/>
        </w:rPr>
        <w:br/>
      </w:r>
      <w:r w:rsidRPr="008A555A">
        <w:rPr>
          <w:rFonts w:cstheme="minorHAnsi"/>
        </w:rPr>
        <w:t xml:space="preserve">w dalszej części „Procedurą”, </w:t>
      </w:r>
      <w:r w:rsidR="00E26759" w:rsidRPr="008A555A">
        <w:rPr>
          <w:rFonts w:cstheme="minorHAnsi"/>
        </w:rPr>
        <w:t>określa zasady przeprowadzania okresowych analiz ryzyka naruszenia praw i wolności osoby, której dane dotyczą</w:t>
      </w:r>
      <w:r w:rsidR="00013A32" w:rsidRPr="008A555A">
        <w:rPr>
          <w:rFonts w:cstheme="minorHAnsi"/>
        </w:rPr>
        <w:t xml:space="preserve"> </w:t>
      </w:r>
      <w:r w:rsidR="00E26759" w:rsidRPr="008A555A">
        <w:rPr>
          <w:rFonts w:cstheme="minorHAnsi"/>
        </w:rPr>
        <w:t>oraz podejmowania działań minimalizujących to ryzyko, stosownie do wyników przeprowadzonej analizy</w:t>
      </w:r>
      <w:r w:rsidR="004E5525" w:rsidRPr="008A555A">
        <w:rPr>
          <w:rFonts w:cstheme="minorHAnsi"/>
        </w:rPr>
        <w:t xml:space="preserve">, w </w:t>
      </w:r>
      <w:r w:rsidR="00A71D08" w:rsidRPr="008A555A">
        <w:rPr>
          <w:rFonts w:cstheme="minorHAnsi"/>
        </w:rPr>
        <w:t xml:space="preserve">Przedszkolu nr </w:t>
      </w:r>
      <w:r w:rsidR="004F6EF4">
        <w:rPr>
          <w:rFonts w:cstheme="minorHAnsi"/>
        </w:rPr>
        <w:t xml:space="preserve">37 im. Juliana Tuwima </w:t>
      </w:r>
      <w:r w:rsidR="00A71D08" w:rsidRPr="008A555A">
        <w:rPr>
          <w:rFonts w:cstheme="minorHAnsi"/>
        </w:rPr>
        <w:t xml:space="preserve"> w Rybniku</w:t>
      </w:r>
      <w:r w:rsidR="00597AD3" w:rsidRPr="008A555A">
        <w:rPr>
          <w:rFonts w:cstheme="minorHAnsi"/>
        </w:rPr>
        <w:t xml:space="preserve">, zwanym w dalszej części „Procedury” </w:t>
      </w:r>
      <w:r w:rsidR="00A71D08" w:rsidRPr="008A555A">
        <w:rPr>
          <w:rFonts w:cstheme="minorHAnsi"/>
        </w:rPr>
        <w:t>Przedszkolem</w:t>
      </w:r>
      <w:r w:rsidR="004E5525" w:rsidRPr="008A555A">
        <w:rPr>
          <w:rFonts w:cstheme="minorHAnsi"/>
        </w:rPr>
        <w:t>.</w:t>
      </w:r>
    </w:p>
    <w:p w14:paraId="54AEBEFD" w14:textId="77777777" w:rsidR="00B42843" w:rsidRPr="008A555A" w:rsidRDefault="00B42843" w:rsidP="00A71D08">
      <w:pPr>
        <w:spacing w:line="276" w:lineRule="auto"/>
        <w:rPr>
          <w:rFonts w:cstheme="minorHAnsi"/>
          <w:color w:val="FF0000"/>
        </w:rPr>
      </w:pPr>
    </w:p>
    <w:p w14:paraId="12553A7A" w14:textId="77777777" w:rsidR="000F5313" w:rsidRPr="008A555A" w:rsidRDefault="000F5313" w:rsidP="00A71D08">
      <w:pPr>
        <w:spacing w:line="276" w:lineRule="auto"/>
        <w:jc w:val="center"/>
        <w:rPr>
          <w:rFonts w:cstheme="minorHAnsi"/>
        </w:rPr>
      </w:pPr>
      <w:r w:rsidRPr="008A555A">
        <w:rPr>
          <w:rFonts w:cstheme="minorHAnsi"/>
        </w:rPr>
        <w:t>§ 2.</w:t>
      </w:r>
    </w:p>
    <w:p w14:paraId="6AB11164" w14:textId="77777777" w:rsidR="000F5313" w:rsidRPr="008A555A" w:rsidRDefault="000F5313" w:rsidP="00A71D0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Ryzyko to wskaźnik stanu lub zdarzenia, które może prowadzić do strat. Ryzyko jest </w:t>
      </w:r>
      <w:r w:rsidRPr="008A555A">
        <w:rPr>
          <w:rFonts w:cstheme="minorHAnsi"/>
        </w:rPr>
        <w:br/>
        <w:t>proporcjonalne do prawdopodobieństwa wystąpienia tego zdarzenia i do wielkości strat, które może spowodować.</w:t>
      </w:r>
    </w:p>
    <w:p w14:paraId="25F51693" w14:textId="47B1875B" w:rsidR="000F5313" w:rsidRPr="008A555A" w:rsidRDefault="000F5313" w:rsidP="00A71D0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Zarządzanie ryzykiem to skoordynowane działania dotyczące kierowania i nadzorowania </w:t>
      </w:r>
      <w:r w:rsidR="00A71D08" w:rsidRPr="008A555A">
        <w:rPr>
          <w:rFonts w:cstheme="minorHAnsi"/>
        </w:rPr>
        <w:t>Przedszkola</w:t>
      </w:r>
      <w:r w:rsidRPr="008A555A">
        <w:rPr>
          <w:rFonts w:cstheme="minorHAnsi"/>
        </w:rPr>
        <w:t xml:space="preserve"> w odniesieniu do ryzyka. W ramach zarządzania ryzykiem analizuje się, co może się zdarzyć i jakie mogą być możliwe następstwa, a następnie podejmuje decyzję, co i kiedy należy wykonać, aby zredukować ryzyko do akceptowalnego poziomu.</w:t>
      </w:r>
    </w:p>
    <w:p w14:paraId="466FD8CC" w14:textId="77777777" w:rsidR="000F5313" w:rsidRPr="008A555A" w:rsidRDefault="000F5313" w:rsidP="00A71D08">
      <w:pPr>
        <w:pStyle w:val="Akapitzlist"/>
        <w:spacing w:line="276" w:lineRule="auto"/>
        <w:ind w:left="0"/>
        <w:jc w:val="both"/>
        <w:rPr>
          <w:rFonts w:cstheme="minorHAnsi"/>
        </w:rPr>
      </w:pPr>
    </w:p>
    <w:p w14:paraId="4BDCEA51" w14:textId="77777777" w:rsidR="000F5313" w:rsidRPr="008A555A" w:rsidRDefault="000F5313" w:rsidP="00A71D08">
      <w:pPr>
        <w:spacing w:line="276" w:lineRule="auto"/>
        <w:jc w:val="center"/>
        <w:rPr>
          <w:rFonts w:cstheme="minorHAnsi"/>
        </w:rPr>
      </w:pPr>
      <w:r w:rsidRPr="008A555A">
        <w:rPr>
          <w:rFonts w:cstheme="minorHAnsi"/>
        </w:rPr>
        <w:t>§ 3.</w:t>
      </w:r>
    </w:p>
    <w:p w14:paraId="751607F4" w14:textId="77777777" w:rsidR="000F5313" w:rsidRPr="008A555A" w:rsidRDefault="000F5313" w:rsidP="00A71D08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Prawdopodobieństwo ryzyka jest to oczekiwana częstotliwość wystąpienia zdarzenia zdefiniowanego jako ryzyko. </w:t>
      </w:r>
    </w:p>
    <w:p w14:paraId="693C165F" w14:textId="77777777" w:rsidR="000F5313" w:rsidRPr="008A555A" w:rsidRDefault="000F5313" w:rsidP="00A71D08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Strata, którą może spowodować ryzyko jest to wpływ zdarzenia zdefiniowanego jako ryzyko na osoby fizyczne w przypadku naruszenia ich praw i wolności. </w:t>
      </w:r>
    </w:p>
    <w:p w14:paraId="413328BB" w14:textId="77777777" w:rsidR="000F5313" w:rsidRPr="008A555A" w:rsidRDefault="000F5313" w:rsidP="00A71D08">
      <w:pPr>
        <w:pStyle w:val="Akapitzlist"/>
        <w:spacing w:line="276" w:lineRule="auto"/>
        <w:ind w:left="0"/>
        <w:jc w:val="both"/>
        <w:rPr>
          <w:rFonts w:cstheme="minorHAnsi"/>
        </w:rPr>
      </w:pPr>
    </w:p>
    <w:p w14:paraId="62AE6F30" w14:textId="77777777" w:rsidR="000F5313" w:rsidRPr="008A555A" w:rsidRDefault="000F5313" w:rsidP="00A71D08">
      <w:pPr>
        <w:spacing w:line="276" w:lineRule="auto"/>
        <w:jc w:val="center"/>
        <w:rPr>
          <w:rFonts w:cstheme="minorHAnsi"/>
        </w:rPr>
      </w:pPr>
      <w:r w:rsidRPr="008A555A">
        <w:rPr>
          <w:rFonts w:cstheme="minorHAnsi"/>
        </w:rPr>
        <w:t>§ 4.</w:t>
      </w:r>
    </w:p>
    <w:p w14:paraId="58EC7BCC" w14:textId="3CA64D70" w:rsidR="000F5313" w:rsidRPr="008A555A" w:rsidRDefault="000F5313" w:rsidP="00A71D08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Ocena ryzyka polega na określeniu prawdopodobieństwa ryzyka i straty, którą może spowodować ryzyko. </w:t>
      </w:r>
    </w:p>
    <w:p w14:paraId="03562884" w14:textId="77777777" w:rsidR="000F5313" w:rsidRPr="008A555A" w:rsidRDefault="000F5313" w:rsidP="00A71D08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Oceny ryzyka dokonuje się poprzez przyznanie prawdopodobieństwu ryzyka i stracie, którą może spowodować ryzyko odpowiedniej liczby punktów.</w:t>
      </w:r>
    </w:p>
    <w:p w14:paraId="1B5CF68B" w14:textId="77777777" w:rsidR="000F5313" w:rsidRPr="008A555A" w:rsidRDefault="000F5313" w:rsidP="00A71D08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Punktacja dla prawdopodobieństwa ryzyka:</w:t>
      </w:r>
    </w:p>
    <w:p w14:paraId="586AFAE0" w14:textId="77777777" w:rsidR="000F5313" w:rsidRPr="008A555A" w:rsidRDefault="000F5313" w:rsidP="00A71D08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prawie pewne – 3 pkt,</w:t>
      </w:r>
    </w:p>
    <w:p w14:paraId="1B274F0D" w14:textId="77777777" w:rsidR="000F5313" w:rsidRPr="008A555A" w:rsidRDefault="000F5313" w:rsidP="00A71D08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możliwe – 2 pkt,</w:t>
      </w:r>
    </w:p>
    <w:p w14:paraId="4E1059DF" w14:textId="31195321" w:rsidR="000F5313" w:rsidRDefault="000F5313" w:rsidP="00A71D08">
      <w:pPr>
        <w:pStyle w:val="Akapitzlist"/>
        <w:numPr>
          <w:ilvl w:val="0"/>
          <w:numId w:val="34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rzadkie – 1 pkt.</w:t>
      </w:r>
    </w:p>
    <w:p w14:paraId="3396E065" w14:textId="2D1058F4" w:rsidR="004F6EF4" w:rsidRDefault="004F6EF4" w:rsidP="004F6EF4">
      <w:pPr>
        <w:spacing w:line="276" w:lineRule="auto"/>
        <w:jc w:val="both"/>
        <w:rPr>
          <w:rFonts w:cstheme="minorHAnsi"/>
        </w:rPr>
      </w:pPr>
    </w:p>
    <w:p w14:paraId="673159B6" w14:textId="77777777" w:rsidR="004F6EF4" w:rsidRPr="004F6EF4" w:rsidRDefault="004F6EF4" w:rsidP="004F6EF4">
      <w:pPr>
        <w:spacing w:line="276" w:lineRule="auto"/>
        <w:jc w:val="both"/>
        <w:rPr>
          <w:rFonts w:cstheme="minorHAnsi"/>
        </w:rPr>
      </w:pPr>
    </w:p>
    <w:p w14:paraId="6454AA09" w14:textId="77777777" w:rsidR="000F5313" w:rsidRPr="008A555A" w:rsidRDefault="000F5313" w:rsidP="00A71D08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Punktacja dla straty, którą może spowodować ryzyko:</w:t>
      </w:r>
    </w:p>
    <w:p w14:paraId="1F0BF5EF" w14:textId="7FC29E2D" w:rsidR="000F5313" w:rsidRPr="008A555A" w:rsidRDefault="000F5313" w:rsidP="00A71D08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lastRenderedPageBreak/>
        <w:t xml:space="preserve">naruszenie z bardzo dużym prawdopodobieństwem może skutkować dyskryminacją, kradzieżą tożsamości lub oszustwem dotyczącym tożsamości, stratą finansową, naruszeniem dobrego imienia, naruszeniem poufności danych osobowych chronionych tajemnicą zawodową, nieuprawnionym odwróceniem </w:t>
      </w:r>
      <w:proofErr w:type="spellStart"/>
      <w:r w:rsidRPr="008A555A">
        <w:rPr>
          <w:rFonts w:cstheme="minorHAnsi"/>
        </w:rPr>
        <w:t>pseudonimizacji</w:t>
      </w:r>
      <w:proofErr w:type="spellEnd"/>
      <w:r w:rsidRPr="008A555A">
        <w:rPr>
          <w:rFonts w:cstheme="minorHAnsi"/>
        </w:rPr>
        <w:t xml:space="preserve"> lub wszelką inną znaczną szkodą gospodarczą lub społeczną – 3 pkt,</w:t>
      </w:r>
    </w:p>
    <w:p w14:paraId="28E6A36C" w14:textId="1AB949ED" w:rsidR="000F5313" w:rsidRPr="008A555A" w:rsidRDefault="000F5313" w:rsidP="00A71D08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naruszenie w zależności od kontekstu danego zdarzenia w niektórych przypadkach może skutkować dyskryminacją, kradzieżą tożsamości lub oszustwem dotyczącym tożsamości, stratą finansową, naruszeniem dobrego imienia, naruszeniem poufności danych osobowych chronionych tajemnicą zawodową, nieuprawnionym odwróceniem </w:t>
      </w:r>
      <w:proofErr w:type="spellStart"/>
      <w:r w:rsidRPr="008A555A">
        <w:rPr>
          <w:rFonts w:cstheme="minorHAnsi"/>
        </w:rPr>
        <w:t>pseudonimizacji</w:t>
      </w:r>
      <w:proofErr w:type="spellEnd"/>
      <w:r w:rsidRPr="008A555A">
        <w:rPr>
          <w:rFonts w:cstheme="minorHAnsi"/>
        </w:rPr>
        <w:t xml:space="preserve"> lub wszelką inną znaczną szkodą gospodarczą lub społeczną – 2 pkt,</w:t>
      </w:r>
    </w:p>
    <w:p w14:paraId="331838A8" w14:textId="43814192" w:rsidR="000F5313" w:rsidRPr="008A555A" w:rsidRDefault="000F5313" w:rsidP="00A71D08">
      <w:pPr>
        <w:pStyle w:val="Akapitzlist"/>
        <w:numPr>
          <w:ilvl w:val="0"/>
          <w:numId w:val="35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naruszenie nie będzie wpływało na prawa i wolności osób fizycznych – 1 pkt.</w:t>
      </w:r>
    </w:p>
    <w:p w14:paraId="43425761" w14:textId="7A98E0D4" w:rsidR="000F5313" w:rsidRPr="008A555A" w:rsidRDefault="000F5313" w:rsidP="00A71D08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Oceny ryzyka występujące w </w:t>
      </w:r>
      <w:r w:rsidR="00A71D08" w:rsidRPr="008A555A">
        <w:rPr>
          <w:rFonts w:cstheme="minorHAnsi"/>
        </w:rPr>
        <w:t>Przedszkolu</w:t>
      </w:r>
      <w:r w:rsidRPr="008A555A">
        <w:rPr>
          <w:rFonts w:cstheme="minorHAnsi"/>
        </w:rPr>
        <w:t>:</w:t>
      </w:r>
    </w:p>
    <w:p w14:paraId="631EEF9D" w14:textId="77777777" w:rsidR="000F5313" w:rsidRPr="008A555A" w:rsidRDefault="000F5313" w:rsidP="00A71D08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ryzyko wysokie – suma przyznanych punktów od 5 do 6. Duża istotność. Konsekwencje poważne. Niezbędne są działania naprawcze,</w:t>
      </w:r>
    </w:p>
    <w:p w14:paraId="34DB4FE6" w14:textId="77777777" w:rsidR="000F5313" w:rsidRPr="008A555A" w:rsidRDefault="000F5313" w:rsidP="00A71D08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ryzyko średnie – suma przyznanych punktów od 3 do 4. Średnia istotność. Przeciwdziałanie wskazane,</w:t>
      </w:r>
    </w:p>
    <w:p w14:paraId="5C94F9AD" w14:textId="77777777" w:rsidR="000F5313" w:rsidRPr="008A555A" w:rsidRDefault="000F5313" w:rsidP="00A71D08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ryzyko niskie – suma przyznanych punktów od 1 do 2. Mała istotność. Przeciwdziałanie zależy od decyzji właściciela ryzyka. </w:t>
      </w:r>
    </w:p>
    <w:p w14:paraId="5A3B5ADB" w14:textId="77777777" w:rsidR="000F5313" w:rsidRPr="008A555A" w:rsidRDefault="000F5313" w:rsidP="00A71D08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Oceny ryzyka dokonuje się odrębnie dla utraty integralności, dostępności lub poufności danych osobowych.</w:t>
      </w:r>
    </w:p>
    <w:p w14:paraId="32196AD0" w14:textId="77777777" w:rsidR="000F5313" w:rsidRPr="008A555A" w:rsidRDefault="000F5313" w:rsidP="00A71D08">
      <w:pPr>
        <w:spacing w:line="276" w:lineRule="auto"/>
        <w:jc w:val="both"/>
        <w:rPr>
          <w:rFonts w:cstheme="minorHAnsi"/>
        </w:rPr>
      </w:pPr>
    </w:p>
    <w:p w14:paraId="14236C95" w14:textId="77777777" w:rsidR="000F5313" w:rsidRPr="008A555A" w:rsidRDefault="000F5313" w:rsidP="00A71D08">
      <w:pPr>
        <w:spacing w:line="276" w:lineRule="auto"/>
        <w:jc w:val="center"/>
        <w:rPr>
          <w:rFonts w:cstheme="minorHAnsi"/>
        </w:rPr>
      </w:pPr>
      <w:r w:rsidRPr="008A555A">
        <w:rPr>
          <w:rFonts w:cstheme="minorHAnsi"/>
        </w:rPr>
        <w:t>§ 5.</w:t>
      </w:r>
    </w:p>
    <w:p w14:paraId="2E093A64" w14:textId="77777777" w:rsidR="000F5313" w:rsidRPr="008A555A" w:rsidRDefault="000F5313" w:rsidP="00A71D0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W przypadku ryzyka wysokiego lub średniego konieczne jest postępowanie z ryzykiem.</w:t>
      </w:r>
    </w:p>
    <w:p w14:paraId="3311D2E3" w14:textId="386B396F" w:rsidR="000F5313" w:rsidRPr="008A555A" w:rsidRDefault="000F5313" w:rsidP="00A71D0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 xml:space="preserve">Metody postępowania z ryzykiem występujące w </w:t>
      </w:r>
      <w:r w:rsidR="00A71D08" w:rsidRPr="008A555A">
        <w:rPr>
          <w:rFonts w:cstheme="minorHAnsi"/>
        </w:rPr>
        <w:t>Przedszkolu</w:t>
      </w:r>
      <w:r w:rsidRPr="008A555A">
        <w:rPr>
          <w:rFonts w:cstheme="minorHAnsi"/>
        </w:rPr>
        <w:t>:</w:t>
      </w:r>
    </w:p>
    <w:p w14:paraId="4DD43005" w14:textId="77777777" w:rsidR="000F5313" w:rsidRPr="008A555A" w:rsidRDefault="000F5313" w:rsidP="00A71D0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unikanie – eliminacja zagrożeń,</w:t>
      </w:r>
    </w:p>
    <w:p w14:paraId="60431CB0" w14:textId="77777777" w:rsidR="000F5313" w:rsidRPr="008A555A" w:rsidRDefault="000F5313" w:rsidP="00A71D0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przeniesienie – przeniesienie ryzyka na inny podmiot, np. poprzez outsourcing lub ubezpieczenie,</w:t>
      </w:r>
    </w:p>
    <w:p w14:paraId="09B062DC" w14:textId="77777777" w:rsidR="000F5313" w:rsidRPr="008A555A" w:rsidRDefault="000F5313" w:rsidP="00A71D0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łagodzenie – podjęcie działań mających na celu zmniejszenie negatywnych skutków wystąpienia zagrożenia,</w:t>
      </w:r>
    </w:p>
    <w:p w14:paraId="4ECD3A02" w14:textId="77777777" w:rsidR="000F5313" w:rsidRPr="008A555A" w:rsidRDefault="000F5313" w:rsidP="00A71D0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akceptacja – zaakceptowanie istniejącego ryzyka i wstrzymanie reakcji do chwili zaistnienia zagrożenia.</w:t>
      </w:r>
    </w:p>
    <w:p w14:paraId="32373F63" w14:textId="77777777" w:rsidR="000F5313" w:rsidRPr="008A555A" w:rsidRDefault="000F5313" w:rsidP="00A71D0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Postępowanie z ryzykiem powinno być proporcjonalne do ryzyka tak, aby, w większości przypadków, ryzyko mieć pod kontrolą, a nie je eliminować.</w:t>
      </w:r>
    </w:p>
    <w:p w14:paraId="0C877895" w14:textId="77777777" w:rsidR="000F5313" w:rsidRPr="008A555A" w:rsidRDefault="000F5313" w:rsidP="00A71D08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Postępując z ryzykiem należy brać pod uwagę w szczególności:</w:t>
      </w:r>
    </w:p>
    <w:p w14:paraId="4429A7C6" w14:textId="77777777" w:rsidR="000F5313" w:rsidRPr="008A555A" w:rsidRDefault="000F5313" w:rsidP="00A71D0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ograniczenia czasowe (zabezpieczenie powinno zostać wdrożone w czasie „życia” danych osobowych lub systemu),</w:t>
      </w:r>
    </w:p>
    <w:p w14:paraId="0D1620E3" w14:textId="77777777" w:rsidR="000F5313" w:rsidRPr="008A555A" w:rsidRDefault="000F5313" w:rsidP="00A71D0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ograniczenia finansowe (zabezpieczenia nie powinny być bardziej kosztowne do wdrożenia lub utrzymania niż strata, którą może przynieść ryzyko, za wyjątkiem sytuacji, gdy osiągnięcie zgodności jest wymagane przepisami prawa),</w:t>
      </w:r>
    </w:p>
    <w:p w14:paraId="24F862A8" w14:textId="77777777" w:rsidR="000F5313" w:rsidRPr="008A555A" w:rsidRDefault="000F5313" w:rsidP="00A71D0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ograniczenia techniczne,</w:t>
      </w:r>
    </w:p>
    <w:p w14:paraId="67ED97BA" w14:textId="77777777" w:rsidR="000F5313" w:rsidRPr="008A555A" w:rsidRDefault="000F5313" w:rsidP="00A71D0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lastRenderedPageBreak/>
        <w:t>ograniczenia kulturowe (jeśli pracownicy nie rozumieją zabezpieczenia lub nie akceptują go, to zabezpieczenie staje się z czasem nieskuteczne),</w:t>
      </w:r>
    </w:p>
    <w:p w14:paraId="20E2AC77" w14:textId="77777777" w:rsidR="000F5313" w:rsidRPr="008A555A" w:rsidRDefault="000F5313" w:rsidP="00A71D0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8A555A">
        <w:rPr>
          <w:rFonts w:cstheme="minorHAnsi"/>
        </w:rPr>
        <w:t>ograniczenia prawne,</w:t>
      </w:r>
    </w:p>
    <w:p w14:paraId="32FF084E" w14:textId="77777777" w:rsidR="000F5313" w:rsidRPr="00A71D08" w:rsidRDefault="000F5313" w:rsidP="00A71D0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A71D08">
        <w:rPr>
          <w:rFonts w:cstheme="minorHAnsi"/>
        </w:rPr>
        <w:t>łatwość użycia,</w:t>
      </w:r>
    </w:p>
    <w:p w14:paraId="7CEE5F37" w14:textId="77777777" w:rsidR="000F5313" w:rsidRPr="00A71D08" w:rsidRDefault="000F5313" w:rsidP="00A71D08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A71D08">
        <w:rPr>
          <w:rFonts w:cstheme="minorHAnsi"/>
        </w:rPr>
        <w:t>ograniczenia przy integrowaniu nowych i istniejących zabezpieczeń.</w:t>
      </w:r>
    </w:p>
    <w:p w14:paraId="5FC7BABD" w14:textId="77777777" w:rsidR="000F5313" w:rsidRPr="00A71D08" w:rsidRDefault="000F5313" w:rsidP="00A71D08">
      <w:pPr>
        <w:spacing w:line="276" w:lineRule="auto"/>
        <w:jc w:val="center"/>
        <w:rPr>
          <w:rFonts w:cstheme="minorHAnsi"/>
          <w:b/>
          <w:color w:val="FF0000"/>
        </w:rPr>
      </w:pPr>
    </w:p>
    <w:p w14:paraId="0C53C4F2" w14:textId="77777777" w:rsidR="000F5313" w:rsidRPr="00A71D08" w:rsidRDefault="000F5313" w:rsidP="00A71D08">
      <w:pPr>
        <w:spacing w:line="276" w:lineRule="auto"/>
        <w:jc w:val="center"/>
        <w:rPr>
          <w:rFonts w:cstheme="minorHAnsi"/>
        </w:rPr>
      </w:pPr>
      <w:r w:rsidRPr="00A71D08">
        <w:rPr>
          <w:rFonts w:cstheme="minorHAnsi"/>
        </w:rPr>
        <w:t>§ 6.</w:t>
      </w:r>
    </w:p>
    <w:p w14:paraId="04B73B0E" w14:textId="761BC2BA" w:rsidR="000F5313" w:rsidRPr="00A71D08" w:rsidRDefault="000F5313" w:rsidP="00A71D08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A71D08">
        <w:rPr>
          <w:rFonts w:cstheme="minorHAnsi"/>
        </w:rPr>
        <w:t xml:space="preserve">Oceny ryzyka dokonuje dyrektor, inspektor ochrony danych, a także – w razie potrzeby – inni pracownicy </w:t>
      </w:r>
      <w:r w:rsidR="00A71D08" w:rsidRPr="00A71D08">
        <w:rPr>
          <w:rFonts w:cstheme="minorHAnsi"/>
        </w:rPr>
        <w:t>Przedszkola</w:t>
      </w:r>
      <w:r w:rsidRPr="00A71D08">
        <w:rPr>
          <w:rFonts w:cstheme="minorHAnsi"/>
        </w:rPr>
        <w:t xml:space="preserve"> wyznaczeni przez dyrektora.</w:t>
      </w:r>
    </w:p>
    <w:p w14:paraId="046131FA" w14:textId="77777777" w:rsidR="000F5313" w:rsidRPr="00A71D08" w:rsidRDefault="000F5313" w:rsidP="00A71D08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A71D08">
        <w:rPr>
          <w:rFonts w:cstheme="minorHAnsi"/>
        </w:rPr>
        <w:t>Ocenę ryzyka należy udokumentować.</w:t>
      </w:r>
    </w:p>
    <w:p w14:paraId="1FC6E58A" w14:textId="77777777" w:rsidR="000F5313" w:rsidRPr="00A71D08" w:rsidRDefault="000F5313" w:rsidP="00A71D08">
      <w:pPr>
        <w:spacing w:line="276" w:lineRule="auto"/>
        <w:jc w:val="center"/>
        <w:rPr>
          <w:rFonts w:cstheme="minorHAnsi"/>
        </w:rPr>
      </w:pPr>
    </w:p>
    <w:p w14:paraId="2C60AEEF" w14:textId="77777777" w:rsidR="000F5313" w:rsidRPr="00A71D08" w:rsidRDefault="000F5313" w:rsidP="00A71D08">
      <w:pPr>
        <w:spacing w:line="276" w:lineRule="auto"/>
        <w:jc w:val="center"/>
        <w:rPr>
          <w:rFonts w:cstheme="minorHAnsi"/>
        </w:rPr>
      </w:pPr>
      <w:r w:rsidRPr="00A71D08">
        <w:rPr>
          <w:rFonts w:cstheme="minorHAnsi"/>
        </w:rPr>
        <w:t>§ 7.</w:t>
      </w:r>
    </w:p>
    <w:p w14:paraId="1423CB76" w14:textId="6209B2DD" w:rsidR="000F5313" w:rsidRPr="00A71D08" w:rsidRDefault="000F5313" w:rsidP="00A71D08">
      <w:pPr>
        <w:spacing w:line="276" w:lineRule="auto"/>
        <w:jc w:val="both"/>
        <w:rPr>
          <w:rFonts w:cstheme="minorHAnsi"/>
        </w:rPr>
      </w:pPr>
      <w:r w:rsidRPr="00A71D08">
        <w:rPr>
          <w:rFonts w:cstheme="minorHAnsi"/>
        </w:rPr>
        <w:t>W sprawach nieuregulowanych w „Procedurze” decyzję podejmuje dyrektor.</w:t>
      </w:r>
    </w:p>
    <w:p w14:paraId="3C413008" w14:textId="77777777" w:rsidR="000F5313" w:rsidRPr="00A71D08" w:rsidRDefault="000F5313" w:rsidP="00A71D08">
      <w:pPr>
        <w:spacing w:line="276" w:lineRule="auto"/>
        <w:jc w:val="both"/>
        <w:rPr>
          <w:rFonts w:cstheme="minorHAnsi"/>
        </w:rPr>
      </w:pPr>
    </w:p>
    <w:p w14:paraId="3241E573" w14:textId="77777777" w:rsidR="0073077F" w:rsidRPr="00A71D08" w:rsidRDefault="0073077F" w:rsidP="00A71D08">
      <w:pPr>
        <w:spacing w:line="276" w:lineRule="auto"/>
        <w:jc w:val="center"/>
        <w:rPr>
          <w:rFonts w:cstheme="minorHAnsi"/>
          <w:color w:val="FF0000"/>
        </w:rPr>
      </w:pPr>
    </w:p>
    <w:sectPr w:rsidR="0073077F" w:rsidRPr="00A71D08" w:rsidSect="00F82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24DDD"/>
    <w:multiLevelType w:val="hybridMultilevel"/>
    <w:tmpl w:val="A7BC7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1356F"/>
    <w:multiLevelType w:val="hybridMultilevel"/>
    <w:tmpl w:val="57D27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684B"/>
    <w:multiLevelType w:val="hybridMultilevel"/>
    <w:tmpl w:val="AF225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DB385F"/>
    <w:multiLevelType w:val="hybridMultilevel"/>
    <w:tmpl w:val="293A23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40B26"/>
    <w:multiLevelType w:val="hybridMultilevel"/>
    <w:tmpl w:val="B3C88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3496"/>
    <w:multiLevelType w:val="multilevel"/>
    <w:tmpl w:val="0FF8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0775D"/>
    <w:multiLevelType w:val="hybridMultilevel"/>
    <w:tmpl w:val="25D4C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8480A"/>
    <w:multiLevelType w:val="hybridMultilevel"/>
    <w:tmpl w:val="F6666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4CF4B6D"/>
    <w:multiLevelType w:val="hybridMultilevel"/>
    <w:tmpl w:val="9C8072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C1F81"/>
    <w:multiLevelType w:val="hybridMultilevel"/>
    <w:tmpl w:val="AEB86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D60D5"/>
    <w:multiLevelType w:val="hybridMultilevel"/>
    <w:tmpl w:val="23D29F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27E7F"/>
    <w:multiLevelType w:val="hybridMultilevel"/>
    <w:tmpl w:val="C7C68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682610"/>
    <w:multiLevelType w:val="hybridMultilevel"/>
    <w:tmpl w:val="D8D61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A1209"/>
    <w:multiLevelType w:val="hybridMultilevel"/>
    <w:tmpl w:val="0D469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6709B"/>
    <w:multiLevelType w:val="hybridMultilevel"/>
    <w:tmpl w:val="93709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B908AE"/>
    <w:multiLevelType w:val="hybridMultilevel"/>
    <w:tmpl w:val="4962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24ACD"/>
    <w:multiLevelType w:val="hybridMultilevel"/>
    <w:tmpl w:val="A2ECD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2568E"/>
    <w:multiLevelType w:val="hybridMultilevel"/>
    <w:tmpl w:val="9356C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709B6"/>
    <w:multiLevelType w:val="hybridMultilevel"/>
    <w:tmpl w:val="3E3AA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167F6E"/>
    <w:multiLevelType w:val="hybridMultilevel"/>
    <w:tmpl w:val="DDEE8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22861"/>
    <w:multiLevelType w:val="hybridMultilevel"/>
    <w:tmpl w:val="A686FB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9E2B81"/>
    <w:multiLevelType w:val="hybridMultilevel"/>
    <w:tmpl w:val="449EB766"/>
    <w:lvl w:ilvl="0" w:tplc="0D3E7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C34B39"/>
    <w:multiLevelType w:val="hybridMultilevel"/>
    <w:tmpl w:val="73E0F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57926"/>
    <w:multiLevelType w:val="hybridMultilevel"/>
    <w:tmpl w:val="15EC6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D786D"/>
    <w:multiLevelType w:val="hybridMultilevel"/>
    <w:tmpl w:val="79FEA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116DC5"/>
    <w:multiLevelType w:val="hybridMultilevel"/>
    <w:tmpl w:val="27C04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635DE"/>
    <w:multiLevelType w:val="hybridMultilevel"/>
    <w:tmpl w:val="802ED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F35D4"/>
    <w:multiLevelType w:val="hybridMultilevel"/>
    <w:tmpl w:val="ACACB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76277"/>
    <w:multiLevelType w:val="hybridMultilevel"/>
    <w:tmpl w:val="797AB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8762C"/>
    <w:multiLevelType w:val="hybridMultilevel"/>
    <w:tmpl w:val="7F88E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11C89"/>
    <w:multiLevelType w:val="hybridMultilevel"/>
    <w:tmpl w:val="EC924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DF0C73"/>
    <w:multiLevelType w:val="hybridMultilevel"/>
    <w:tmpl w:val="9D1A9638"/>
    <w:lvl w:ilvl="0" w:tplc="BE4E4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B61D9F"/>
    <w:multiLevelType w:val="multilevel"/>
    <w:tmpl w:val="A9E675F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BB145BF"/>
    <w:multiLevelType w:val="hybridMultilevel"/>
    <w:tmpl w:val="054ED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35114"/>
    <w:multiLevelType w:val="hybridMultilevel"/>
    <w:tmpl w:val="83BC2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6D2D86"/>
    <w:multiLevelType w:val="hybridMultilevel"/>
    <w:tmpl w:val="5F223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41160"/>
    <w:multiLevelType w:val="hybridMultilevel"/>
    <w:tmpl w:val="9050CD3A"/>
    <w:lvl w:ilvl="0" w:tplc="E124BA10">
      <w:start w:val="2"/>
      <w:numFmt w:val="bullet"/>
      <w:pStyle w:val="Tytu"/>
      <w:lvlText w:val=""/>
      <w:lvlJc w:val="left"/>
      <w:pPr>
        <w:ind w:left="1287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25"/>
  </w:num>
  <w:num w:numId="5">
    <w:abstractNumId w:val="2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6"/>
  </w:num>
  <w:num w:numId="14">
    <w:abstractNumId w:val="3"/>
  </w:num>
  <w:num w:numId="15">
    <w:abstractNumId w:val="5"/>
  </w:num>
  <w:num w:numId="16">
    <w:abstractNumId w:val="37"/>
  </w:num>
  <w:num w:numId="17">
    <w:abstractNumId w:val="33"/>
  </w:num>
  <w:num w:numId="18">
    <w:abstractNumId w:val="11"/>
  </w:num>
  <w:num w:numId="19">
    <w:abstractNumId w:val="28"/>
  </w:num>
  <w:num w:numId="20">
    <w:abstractNumId w:val="19"/>
  </w:num>
  <w:num w:numId="21">
    <w:abstractNumId w:val="30"/>
  </w:num>
  <w:num w:numId="22">
    <w:abstractNumId w:val="15"/>
  </w:num>
  <w:num w:numId="23">
    <w:abstractNumId w:val="16"/>
  </w:num>
  <w:num w:numId="24">
    <w:abstractNumId w:val="20"/>
  </w:num>
  <w:num w:numId="25">
    <w:abstractNumId w:val="35"/>
  </w:num>
  <w:num w:numId="26">
    <w:abstractNumId w:val="32"/>
  </w:num>
  <w:num w:numId="27">
    <w:abstractNumId w:val="31"/>
  </w:num>
  <w:num w:numId="28">
    <w:abstractNumId w:val="34"/>
  </w:num>
  <w:num w:numId="29">
    <w:abstractNumId w:val="22"/>
  </w:num>
  <w:num w:numId="30">
    <w:abstractNumId w:val="17"/>
  </w:num>
  <w:num w:numId="31">
    <w:abstractNumId w:val="14"/>
  </w:num>
  <w:num w:numId="32">
    <w:abstractNumId w:val="18"/>
  </w:num>
  <w:num w:numId="33">
    <w:abstractNumId w:val="10"/>
  </w:num>
  <w:num w:numId="34">
    <w:abstractNumId w:val="27"/>
  </w:num>
  <w:num w:numId="35">
    <w:abstractNumId w:val="29"/>
  </w:num>
  <w:num w:numId="36">
    <w:abstractNumId w:val="9"/>
  </w:num>
  <w:num w:numId="37">
    <w:abstractNumId w:val="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7F"/>
    <w:rsid w:val="00011E9E"/>
    <w:rsid w:val="00013A32"/>
    <w:rsid w:val="00066F40"/>
    <w:rsid w:val="0009539A"/>
    <w:rsid w:val="000F5313"/>
    <w:rsid w:val="000F6CCF"/>
    <w:rsid w:val="0012005A"/>
    <w:rsid w:val="001944A6"/>
    <w:rsid w:val="001E3A27"/>
    <w:rsid w:val="002157D1"/>
    <w:rsid w:val="00224AED"/>
    <w:rsid w:val="00250706"/>
    <w:rsid w:val="00256D98"/>
    <w:rsid w:val="002747D0"/>
    <w:rsid w:val="00286793"/>
    <w:rsid w:val="002E1453"/>
    <w:rsid w:val="002F271D"/>
    <w:rsid w:val="00303ABE"/>
    <w:rsid w:val="00346894"/>
    <w:rsid w:val="003507BF"/>
    <w:rsid w:val="0036424C"/>
    <w:rsid w:val="00374990"/>
    <w:rsid w:val="003A57B2"/>
    <w:rsid w:val="003F2472"/>
    <w:rsid w:val="004B1326"/>
    <w:rsid w:val="004B1821"/>
    <w:rsid w:val="004E5525"/>
    <w:rsid w:val="004F6EF4"/>
    <w:rsid w:val="005225C3"/>
    <w:rsid w:val="00574A21"/>
    <w:rsid w:val="00597AD3"/>
    <w:rsid w:val="005D1AF1"/>
    <w:rsid w:val="00612D0B"/>
    <w:rsid w:val="00615C41"/>
    <w:rsid w:val="00654365"/>
    <w:rsid w:val="006A7A95"/>
    <w:rsid w:val="00717462"/>
    <w:rsid w:val="00720F5A"/>
    <w:rsid w:val="0073077F"/>
    <w:rsid w:val="00733921"/>
    <w:rsid w:val="007B0213"/>
    <w:rsid w:val="007D1555"/>
    <w:rsid w:val="007D3D0B"/>
    <w:rsid w:val="007D6808"/>
    <w:rsid w:val="007E38F8"/>
    <w:rsid w:val="007F00F9"/>
    <w:rsid w:val="007F1DFE"/>
    <w:rsid w:val="00807565"/>
    <w:rsid w:val="008335B6"/>
    <w:rsid w:val="00847CC8"/>
    <w:rsid w:val="008623B5"/>
    <w:rsid w:val="00866021"/>
    <w:rsid w:val="008858FF"/>
    <w:rsid w:val="008A555A"/>
    <w:rsid w:val="008A7221"/>
    <w:rsid w:val="008C465F"/>
    <w:rsid w:val="008D397F"/>
    <w:rsid w:val="00924C8A"/>
    <w:rsid w:val="00934BA2"/>
    <w:rsid w:val="00934CCE"/>
    <w:rsid w:val="00965D9B"/>
    <w:rsid w:val="009903BE"/>
    <w:rsid w:val="009A1B5E"/>
    <w:rsid w:val="009F1E72"/>
    <w:rsid w:val="00A234B4"/>
    <w:rsid w:val="00A26339"/>
    <w:rsid w:val="00A32B39"/>
    <w:rsid w:val="00A34998"/>
    <w:rsid w:val="00A4173C"/>
    <w:rsid w:val="00A57797"/>
    <w:rsid w:val="00A71D08"/>
    <w:rsid w:val="00AB05A3"/>
    <w:rsid w:val="00AC3DC2"/>
    <w:rsid w:val="00AD3485"/>
    <w:rsid w:val="00AE062A"/>
    <w:rsid w:val="00B41CFE"/>
    <w:rsid w:val="00B42843"/>
    <w:rsid w:val="00B46C55"/>
    <w:rsid w:val="00B62E99"/>
    <w:rsid w:val="00BF19AD"/>
    <w:rsid w:val="00BF6082"/>
    <w:rsid w:val="00C06BA8"/>
    <w:rsid w:val="00C21800"/>
    <w:rsid w:val="00C25D92"/>
    <w:rsid w:val="00C27B76"/>
    <w:rsid w:val="00C36EC7"/>
    <w:rsid w:val="00C90FF9"/>
    <w:rsid w:val="00C97E4A"/>
    <w:rsid w:val="00CA7A53"/>
    <w:rsid w:val="00CE2893"/>
    <w:rsid w:val="00D54CDD"/>
    <w:rsid w:val="00D62F17"/>
    <w:rsid w:val="00D84080"/>
    <w:rsid w:val="00DB262D"/>
    <w:rsid w:val="00E26759"/>
    <w:rsid w:val="00E33EF2"/>
    <w:rsid w:val="00E811C2"/>
    <w:rsid w:val="00EC5F62"/>
    <w:rsid w:val="00ED2BE0"/>
    <w:rsid w:val="00F036C2"/>
    <w:rsid w:val="00F473EE"/>
    <w:rsid w:val="00F47A62"/>
    <w:rsid w:val="00F82E74"/>
    <w:rsid w:val="00F852BB"/>
    <w:rsid w:val="00FC20B1"/>
    <w:rsid w:val="00FD1C97"/>
    <w:rsid w:val="00FF4E7E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05B5"/>
  <w15:docId w15:val="{C9655A0F-5B5E-4DE9-B0DE-B1C20AF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485"/>
  </w:style>
  <w:style w:type="paragraph" w:styleId="Nagwek1">
    <w:name w:val="heading 1"/>
    <w:basedOn w:val="Normalny"/>
    <w:next w:val="Normalny"/>
    <w:link w:val="Nagwek1Znak"/>
    <w:qFormat/>
    <w:rsid w:val="00FF5CAE"/>
    <w:pPr>
      <w:numPr>
        <w:numId w:val="17"/>
      </w:numPr>
      <w:tabs>
        <w:tab w:val="clear" w:pos="360"/>
        <w:tab w:val="num" w:pos="851"/>
      </w:tabs>
      <w:spacing w:before="120" w:line="276" w:lineRule="auto"/>
      <w:ind w:left="850" w:hanging="425"/>
      <w:jc w:val="both"/>
      <w:outlineLvl w:val="0"/>
    </w:pPr>
    <w:rPr>
      <w:rFonts w:ascii="Calibri" w:eastAsia="Times New Roman" w:hAnsi="Calibri" w:cs="Times New Roman"/>
      <w:szCs w:val="22"/>
      <w:lang w:val="x-none" w:eastAsia="x-none"/>
    </w:rPr>
  </w:style>
  <w:style w:type="paragraph" w:styleId="Nagwek3">
    <w:name w:val="heading 3"/>
    <w:basedOn w:val="Nagwek1"/>
    <w:next w:val="Normalny"/>
    <w:link w:val="Nagwek3Znak"/>
    <w:autoRedefine/>
    <w:qFormat/>
    <w:rsid w:val="00FF5CAE"/>
    <w:pPr>
      <w:numPr>
        <w:ilvl w:val="1"/>
      </w:numPr>
      <w:tabs>
        <w:tab w:val="clear" w:pos="720"/>
        <w:tab w:val="num" w:pos="851"/>
      </w:tabs>
      <w:ind w:left="851" w:hanging="425"/>
      <w:outlineLvl w:val="2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499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F5CAE"/>
    <w:rPr>
      <w:rFonts w:ascii="Calibri" w:eastAsia="Times New Roman" w:hAnsi="Calibri" w:cs="Times New Roman"/>
      <w:szCs w:val="2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F5CAE"/>
    <w:rPr>
      <w:rFonts w:ascii="Calibri" w:eastAsia="Times New Roman" w:hAnsi="Calibri" w:cs="Times New Roman"/>
      <w:sz w:val="22"/>
      <w:szCs w:val="22"/>
      <w:lang w:val="x-none" w:eastAsia="x-none"/>
    </w:rPr>
  </w:style>
  <w:style w:type="character" w:styleId="Hipercze">
    <w:name w:val="Hyperlink"/>
    <w:uiPriority w:val="99"/>
    <w:rsid w:val="00FF5CAE"/>
    <w:rPr>
      <w:color w:val="0000FF"/>
      <w:u w:val="single"/>
    </w:rPr>
  </w:style>
  <w:style w:type="paragraph" w:customStyle="1" w:styleId="TABELA">
    <w:name w:val="TABELA"/>
    <w:next w:val="Normalny"/>
    <w:qFormat/>
    <w:rsid w:val="00FF5CAE"/>
    <w:rPr>
      <w:rFonts w:ascii="Calibri" w:eastAsia="Times New Roman" w:hAnsi="Calibri" w:cs="Calibri"/>
      <w:sz w:val="18"/>
      <w:szCs w:val="22"/>
      <w:lang w:eastAsia="pl-PL"/>
    </w:rPr>
  </w:style>
  <w:style w:type="character" w:styleId="Pogrubienie">
    <w:name w:val="Strong"/>
    <w:rsid w:val="00FF5CAE"/>
    <w:rPr>
      <w:i/>
    </w:rPr>
  </w:style>
  <w:style w:type="character" w:styleId="Uwydatnienie">
    <w:name w:val="Emphasis"/>
    <w:qFormat/>
    <w:rsid w:val="00FF5CAE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F5CAE"/>
    <w:pPr>
      <w:keepNext/>
      <w:keepLines/>
      <w:numPr>
        <w:numId w:val="0"/>
      </w:numPr>
      <w:spacing w:before="480"/>
      <w:ind w:left="567"/>
      <w:outlineLvl w:val="9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F5CAE"/>
    <w:pPr>
      <w:tabs>
        <w:tab w:val="left" w:pos="709"/>
        <w:tab w:val="right" w:leader="dot" w:pos="9968"/>
      </w:tabs>
      <w:spacing w:before="120" w:line="276" w:lineRule="auto"/>
      <w:ind w:left="284"/>
      <w:jc w:val="both"/>
    </w:pPr>
    <w:rPr>
      <w:rFonts w:ascii="Calibri" w:eastAsia="Times New Roman" w:hAnsi="Calibri" w:cs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FF5CAE"/>
    <w:pPr>
      <w:numPr>
        <w:numId w:val="16"/>
      </w:numPr>
      <w:tabs>
        <w:tab w:val="left" w:pos="851"/>
      </w:tabs>
      <w:spacing w:before="60" w:line="276" w:lineRule="auto"/>
      <w:ind w:left="851" w:hanging="425"/>
      <w:jc w:val="both"/>
    </w:pPr>
    <w:rPr>
      <w:rFonts w:ascii="Calibri" w:eastAsia="Times New Roman" w:hAnsi="Calibri" w:cs="Times New Roman"/>
      <w:sz w:val="22"/>
      <w:szCs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F5CAE"/>
    <w:rPr>
      <w:rFonts w:ascii="Calibri" w:eastAsia="Times New Roman" w:hAnsi="Calibri" w:cs="Times New Roman"/>
      <w:sz w:val="22"/>
      <w:szCs w:val="22"/>
      <w:lang w:val="x-none" w:eastAsia="x-none"/>
    </w:rPr>
  </w:style>
  <w:style w:type="character" w:styleId="Tytuksiki">
    <w:name w:val="Book Title"/>
    <w:uiPriority w:val="33"/>
    <w:qFormat/>
    <w:rsid w:val="00FF5CAE"/>
    <w:rPr>
      <w:b/>
      <w:bCs/>
      <w:smallCaps/>
      <w:spacing w:val="5"/>
    </w:rPr>
  </w:style>
  <w:style w:type="paragraph" w:styleId="Spistreci3">
    <w:name w:val="toc 3"/>
    <w:basedOn w:val="Normalny"/>
    <w:next w:val="Normalny"/>
    <w:autoRedefine/>
    <w:uiPriority w:val="39"/>
    <w:rsid w:val="00FF5CAE"/>
    <w:pPr>
      <w:spacing w:before="120" w:line="276" w:lineRule="auto"/>
      <w:ind w:left="440"/>
      <w:jc w:val="both"/>
    </w:pPr>
    <w:rPr>
      <w:rFonts w:ascii="Calibri" w:eastAsia="Times New Roman" w:hAnsi="Calibri" w:cs="Calibri"/>
      <w:sz w:val="22"/>
      <w:szCs w:val="22"/>
      <w:lang w:eastAsia="pl-PL"/>
    </w:rPr>
  </w:style>
  <w:style w:type="paragraph" w:customStyle="1" w:styleId="Default">
    <w:name w:val="Default"/>
    <w:rsid w:val="00AD348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1200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31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313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qFormat/>
    <w:rsid w:val="00011E9E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Salomon</dc:creator>
  <cp:lastModifiedBy>surat</cp:lastModifiedBy>
  <cp:revision>4</cp:revision>
  <cp:lastPrinted>2020-10-15T12:01:00Z</cp:lastPrinted>
  <dcterms:created xsi:type="dcterms:W3CDTF">2020-10-15T12:05:00Z</dcterms:created>
  <dcterms:modified xsi:type="dcterms:W3CDTF">2020-10-16T09:45:00Z</dcterms:modified>
</cp:coreProperties>
</file>