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Standardy ochrony dzieci w Przedszkolu nr 37 w Rybniku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Rozdział I</w:t>
      </w:r>
    </w:p>
    <w:p w:rsidR="00000000" w:rsidDel="00000000" w:rsidP="00000000" w:rsidRDefault="00000000" w:rsidRPr="00000000" w14:paraId="00000004">
      <w:pPr>
        <w:spacing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Informacje wstępne</w:t>
      </w:r>
    </w:p>
    <w:p w:rsidR="00000000" w:rsidDel="00000000" w:rsidP="00000000" w:rsidRDefault="00000000" w:rsidRPr="00000000" w14:paraId="00000005">
      <w:pPr>
        <w:spacing w:line="36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Standardy ochrony małoletnich, zwane dalej „standardami” to zbiór zasad i procedur, które stawiają ochronę dzieci przed krzywdzeniem w centrum działań i wartości jakimi kierują się pracownicy przedszkola.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bookmarkStart w:colFirst="0" w:colLast="0" w:name="_heading=h.do3hpyfk01w2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 nawiązaniem stosunku pracy z nauczycielem, wychowawcą, specjalistą i inna osobą na stanowisku pedagogicznym dokonuje się weryfikacji kandydata w rejestrach karnych w trybie art.10 ust.2-5 i 8a ustawy z dnia 26 stycznia 1982 r. Karta Nauczyciela (Dz.U.2023.984) oraz w zakresie rozszerzonym w trybie art.21 ustawy z dnia 13 maja 2016 r. o przeciwdziałaniu zagrożeniom przestępczością na tle seksualnym i ochronie małoletnich (Dz.U.2023.1304).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przedszkolu wprowadza się obowiązek weryfikacji w rejestrach karnych wszystkich pracowników niepedagogicznych na podstawie art.21 ustawy z dnia 13 maja 2016 r. o przeciwdziałaniu zagrożeniom przestępczością na tle seksualnym i ochronie małoletnich (Dz.U.2023.1304). Jeżeli kandydatem na pracownika jest cudzoziemiec, a kraj który zamieszkiwał nie prowadzi takich rejestrów, konieczne jest złożenie oświadczenia, które stanowi załącznik nr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Przedszkole wprowadza zasadę rozszerzonej ochrony dzieci poprzez wprowadzenie do umów współpracy z innymi firmami działającymi w sposób ciągły na terenie przedszkola weryfikacji pracowników w rejestrach karnych na podstawie art.21 ustawy z dnia 13 maja 2016 r. o przeciwdziałaniu zagrożeniom przestępczością na tle seksualnym i ochronie małoletnich (Dz.U.2023.1304). Zasadę tę stosuje się również do osób odbywających praktyki na terenie przedszkola.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Osoby reprezentujące zewnętrzne instytucje współpracujące z przedszkolem mające nawet potencjalny kontakt z dziećmi podpisują oświadczenie stanowiące załącznik nr 2.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Przedszkole monitoruje przestrzeganie przepisów dotyczących ochrony danych osobowych dzieci, w tym ich wizerunek. W przypadku podejrzenia niewłaściwego rozpowszechniania danych osobowych dziecka, w tym jego wizerunku, dyrektor niezwłocznie rejestruje zdarzenie, zabezpiecza dowody i zgłasza je Inspektorowi Ochrony Danych.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Dzieci korzystają z dostępu do sieci Internetu pod opieką, nadzorem i za zgodą nauczycieli. Przedszkole prowadzi systematyczną profilaktykę bezpiecznego korzystania z Internetu przez dzieci, ucząc ich konstruktywnej reakcji na każdy przejaw cyberprzemocy.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bookmarkStart w:colFirst="0" w:colLast="0" w:name="_heading=h.pxm0bjpy8svs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Przedszkole przygotowuje nauczycieli do rozpoznawania i konstruktywnego reagowania na zjawiska przemocy w rodzinie, w tym przemocy polegającej na zaniedbaniu środowiskowym.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Wsparcie dzieci, które doznały przemocy jako ofiary, obserwatorzy, a także sprawcy są realizowane w ramach pomocy psychologiczno-pedagogicznej w toku bieżącej pracy przez zintegrowane działania nauczycieli oraz przez zajęcia dodatkowe. </w:t>
      </w:r>
    </w:p>
    <w:p w:rsidR="00000000" w:rsidDel="00000000" w:rsidP="00000000" w:rsidRDefault="00000000" w:rsidRPr="00000000" w14:paraId="0000000F">
      <w:pPr>
        <w:spacing w:line="36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Rozdział II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Słownik pojęć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Ilekroć w dalszych przepisach jest mowa bez bliższego określenia 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przedszkole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- należy przez to rozumieć Przedszkole nr 37 w Rybniku, ul. Świętego Maksymiliana 24, 44-200 Rybnik;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dyrektorze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– należy przez to rozumieć kierownictwo Przedszkola nr 37 w Rybniku;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pracowniku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należy przez to rozumieć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osobę zatrudnioną w przedszkolu na podstawie umowy o pracę lub umowy zlecenia, a także osoby współpracujące z przedszkolem jako wolontariusze, stażyści, praktykanci odbywający w przedszkolu praktykę zawodową i pracownicy firm i instytucji wykonujących zadania na rzecz przedszkola w sposób ciągły i w ramach tej działalności mających kontakt z dziećmi;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dziecku 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należy przez to rozumieć małoletniego, który nie ukończył przedszkola;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rodzicach 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należy przez to rozumieć także prawnych opiekunów dziecka, osoby (podmioty) sprawujące pieczę zastępczą nad dzieckiem, a także reprezentancie dziecka, ustanawianego przez sąd opiekuńczy;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sprawcy przemocy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należy przez to rozumieć osobę lub grupę osób którzy dopuszczają się przemocy wobec dziecka;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ofierze przemocy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należy przez to rozumieć dziecko, które doświadczyło przemocy;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obserwatorze przemocy 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należy przez to rozumieć dziecko, które było świadkiem przemocy;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krzywdzeniu dziecka 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należy przez to rozumieć popełnienie czynu zdefiniowanego jako niedozwolony w niniejszych standardach lub czynu zabronionego pod groźbą kary na szkodę dziecka przez pracownika przedszkola, rodzica lub rówieśnika;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zgoda rodziców dziecka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- oznacza zgodę obojga rodziców dziecka. 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Przemoc to działanie jednej osoby wobec drugiej, które wykorzystując przewagę sił narusza prawa i dobra osobiste jednostki.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Przemoc fizyczna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- to wywieranie wpływu na dziecko przy użyciu siły fizycznej, </w:t>
        <w:br w:type="textWrapping"/>
        <w:t xml:space="preserve">w którym dochodzi do naruszenia jego nietykalności fizycznej.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Przemoc psychiczna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to wywieranie wpływu na dziecko przy użyciu środków komunikacji interpersonalnej, w którym dochodzi do naruszenia jego nietykalności psychicznej i emocjonalnej.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Przemoc seksualna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- to każde zachowanie sprawcy przemocy, które prowadzi do seksualnego zaspokojenia jego potrzeb kosztem dziecka. Może mieć formę kontaktu fizycznego, emocjonalnego w formie materiałów pornograficznych lub ekshibicjonizmu.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Cyberprzemoc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to przemoc psychiczna lub seksualna realizowana za pośrednictwem technologii informacyjnych i komunikacyjnych.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Zaniedbanie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to najcięższy rodzaj przemocy, który polega na niezaspokajaniu podstawowych potrzeb psychicznych i/lub biologicznych dziecka. Zaniedbanie w sferze biologicznej przejawia się w braku podstawowych środków do życia jedzenie, mieszkanie, ubranie, brak pomocy w chorobie. Zaniedbanie w sferze psychicznej to pozbawienie dziecka podstawowych potrzeb emocjonalnych takich jak przynależności, więzi, zapewnienia pomocy. Każdy inny rodzaj przemocy ma swój początek i koniec, czyli jest zdarzeniem. Zaniedbanie trwa.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Rozdział III</w:t>
      </w:r>
    </w:p>
    <w:p w:rsidR="00000000" w:rsidDel="00000000" w:rsidP="00000000" w:rsidRDefault="00000000" w:rsidRPr="00000000" w14:paraId="00000025">
      <w:pPr>
        <w:spacing w:line="360" w:lineRule="auto"/>
        <w:ind w:left="85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Zasady zapewniające bezpieczne relacje między dzieckiem a pracownikiem przedszkola w tym zachowania niedozwolone wobec dzieci</w:t>
      </w:r>
    </w:p>
    <w:p w:rsidR="00000000" w:rsidDel="00000000" w:rsidP="00000000" w:rsidRDefault="00000000" w:rsidRPr="00000000" w14:paraId="00000026">
      <w:pPr>
        <w:spacing w:line="360" w:lineRule="auto"/>
        <w:ind w:left="85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Personel jest zobowiązany do utrzymywania profesjonalnej relacji z dziećmi i każdorazowego rozważenia, czy reakcja, komunikat bądź działanie wobec dziecka są adekwatne do sytuacji, bezpieczne, uzasadnione i sprawiedliwe wobec innych dzieci. Należy działać w sposób otwarty i przejrzysty dla innych, aby zminimalizować ryzyko błędnej interpretacji zachowania.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Komunikacja z dziećmi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komunikacji należy zachować cierpliwość i szacunek.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Słuchać uważnie i udzielać odpowiedzi adekwatnych do ich wieku i danej sytuacji.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zawstydzać, upokarzać, lekceważyć i obrażać dziecka. Nie wolno krzyczeć na dziecko w sytuacji innej niż wynikająca z bezpieczeństwa dziecka lub innych dzieci.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ujawniać informacji wrażliwych dotyczących dziecka wobec osób nieuprawnionych, w tym wobec innych dzieci. Obejmuje to wizerunek dziecka, informacje o jego/jej sytuacji rodzinnej, ekonomicznej, medycznej, opiekuńczej i prawnej.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Podejmując decyzje dotyczące dziecka, poinformuj je o tym i staraj się brać pod uwagę jego oczekiwania.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Szanuj prawo dziecka do prywatności. Jeśli konieczne jest odstąpienie od zasady poufności, aby chronić dziecko, wyjaśnij mu to najszybciej jak to możliwe.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Jeśli pojawi się konieczność porozmawiania z dzieckiem na osobności, zostaw uchylone drzwi do pomieszczenia i zadbaj, aby być w zasięgu wzroku innych. Możesz też poprosić drugiego pracownika o obecność podczas takiej rozmowy.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Dopuszczalny jest kontakt indywidualny, jeżeli wymaga tego specyfika zajęć.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47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Działania pracowników wobec dzieci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Należy doceniać i szanować wkład dzieci w podejmowane działania, aktywnie je angażować i traktować równo bez względu na ich płeć, orientację seksualną, sprawność/niepełnosprawność, status społeczny, etniczny, kulturowy, religijny i światopogląd.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Należy unikać faworyzowania dzieci.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nawiązywać z dzieckiem jakichkolwiek relacji seksualnych ani składać mu propozycji o nieodpowiednim charakterze. Obejmuje to także seksualne komentarze, żarty, gesty oraz udostępnianie dzieciom treści erotycznych i pornograficznych bez względu na ich formę.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dla celów diagnostycznych można utrwalać zachowanie dziecka, jeśli dyrekcja została o tym poinformowana i wyraziła na to zgodę i uzyskano zgodę rodziców.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proponować dzieciom alkoholu, wyrobów tytoniowych ani nielegalnych substancji, jak również używać ich w obecności dzieci.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Wszystkie ryzykowne sytuacje, które obejmują zauroczenie dzieckiem przez pracownika lub pracownikiem przez dziecko, muszą być raportowane dyrekcji. Jeśli jesteś ich świadkiem reaguj stanowczo, ale z wyczuciem, aby zachować godność osób zainteresowanych.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Kontakt fizyczny z dzieckiem</w:t>
      </w:r>
    </w:p>
    <w:p w:rsidR="00000000" w:rsidDel="00000000" w:rsidP="00000000" w:rsidRDefault="00000000" w:rsidRPr="00000000" w14:paraId="0000003B">
      <w:pPr>
        <w:spacing w:line="36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Każde przemocowe działanie wobec dziecka jest niedopuszczalne. Istnieją jednak sytuacje, w których fizyczny kontakt z dzieckiem może być stosowny i spełnia zasady bezpiecznego kontaktu (przytulanie, sadzanie na kolana, głaskanie itp.), który jest odpowiedzią na potrzeby dziecka w danym momencie, uwzględnia wiek dziecka, etap rozwojowy, płeć, kontekst kulturowy i sytuacyjny.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bić, szturchać, popychać ani w jakikolwiek sposób naruszać integralności fizycznej dziecka.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dotykać dziecka w sposób, który może być uznany za nieprzyzwoity lub niestosowny.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sytuacjach wymagających czynności pielęgnacyjnych i higienicznych wobec dziecka, należy unikać innego niż niezbędny kontaktu fizycznego z dzieckiem. Dotyczy to zwłaszcza pomagania dziecku w ubieraniu i rozbieraniu, jedzeniu, myciu, korzystaniu z toalety.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Jeżeli dziecko nie reaguje na polecenia słowne, a jego zachowania zagrażają bezpieczeństwu innych dzieci/osób dorosłych, nauczyciel ma możliwość przytrzymania dziecka w celu wyciszenia zachowania oraz zapewnienia bezpieczeństwa otoczeniu. Załącznik nr 3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Kontakty Pracownika poza godzinami pracy</w:t>
      </w:r>
    </w:p>
    <w:p w:rsidR="00000000" w:rsidDel="00000000" w:rsidP="00000000" w:rsidRDefault="00000000" w:rsidRPr="00000000" w14:paraId="00000041">
      <w:pPr>
        <w:spacing w:line="36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Kontakt z dziećmi powinien odbywać się wyłącznie w godzinach pracy i dotyczyć celów edukacyjnych lub wychowawczych.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Nie wolno zapraszać dzieci do swojego miejsca zamieszkania ani spotykać się z nimi poza godzinami pracy. Obejmuje to także kontakty z dziećmi poprzez prywatne kanały komunikacji (prywatny telefon, e-mail, komunikatory, profile w mediach społecznościowych).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Jeśli zachodzi taka konieczność, właściwą formą komunikacji z dziećmi i ich rodzicami lub opiekunami poza godzinami pracy są kanały służbowe (e-mail, telefon służbowy).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Jeśli zachodzi konieczność spotkania z dziećmi poza godzinami pracy, musisz poinformować o tym dyrekcję, a rodzice/opiekunowie prawni dzieci muszą wyrazić zgodę na taki kontakt.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Bezpieczeństwo online</w:t>
      </w:r>
    </w:p>
    <w:p w:rsidR="00000000" w:rsidDel="00000000" w:rsidP="00000000" w:rsidRDefault="00000000" w:rsidRPr="00000000" w14:paraId="00000047">
      <w:pPr>
        <w:spacing w:line="360" w:lineRule="auto"/>
        <w:rPr>
          <w:color w:val="000000"/>
          <w:sz w:val="24"/>
          <w:szCs w:val="24"/>
        </w:rPr>
      </w:pPr>
      <w:bookmarkStart w:colFirst="0" w:colLast="0" w:name="_heading=h.w2f19b9m67o2" w:id="2"/>
      <w:bookmarkEnd w:id="2"/>
      <w:r w:rsidDel="00000000" w:rsidR="00000000" w:rsidRPr="00000000">
        <w:rPr>
          <w:color w:val="000000"/>
          <w:sz w:val="24"/>
          <w:szCs w:val="24"/>
          <w:rtl w:val="0"/>
        </w:rPr>
        <w:t xml:space="preserve">Pracownik musi być świadomy cyfrowych zagrożeń i ryzyka wynikającego z rejestrowania swojej prywatnej aktywności w sieci przez aplikacje i algorytmy, ale także swoich własnych działań w Internecie.  Jeśli profil pracownika jest publicznie dostępny, dzieci i ich rodzice będą mieć wgląd w cyfrową aktywność. W trakcie pracy osobiste urządzenia elektroniczne powinny być wyciszone.</w:t>
      </w:r>
    </w:p>
    <w:p w:rsidR="00000000" w:rsidDel="00000000" w:rsidP="00000000" w:rsidRDefault="00000000" w:rsidRPr="00000000" w14:paraId="00000048">
      <w:pP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Rozdział IV</w:t>
      </w:r>
    </w:p>
    <w:p w:rsidR="00000000" w:rsidDel="00000000" w:rsidP="00000000" w:rsidRDefault="00000000" w:rsidRPr="00000000" w14:paraId="0000004A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Wymogi dotyczące bezpiecznych relacji między dziećmi</w:t>
      </w:r>
    </w:p>
    <w:p w:rsidR="00000000" w:rsidDel="00000000" w:rsidP="00000000" w:rsidRDefault="00000000" w:rsidRPr="00000000" w14:paraId="0000004B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w szczególności zachowania niedozwolone dzieciom</w:t>
      </w:r>
    </w:p>
    <w:p w:rsidR="00000000" w:rsidDel="00000000" w:rsidP="00000000" w:rsidRDefault="00000000" w:rsidRPr="00000000" w14:paraId="0000004C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celu wykluczenia przemocy rówieśniczej, przedszkole monitoruje relacje między dziećmi, a w ramach działań profilaktycznych realizuje programy nakierowane na promowanie pozytywnych wartości, kultury dialogu i wzmacniania kompetencji społecznych dzieci.    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Nauczyciele są zobowiązani monitorować relacje rówieśnicze w przydzielonym mu oddziale i reagować na każdy przypadek agresywnego zachowania.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 przemoc rówieśniczą w przedszkolu uznaje się wszelkie nieprzypadkowe akty godzące w wolność osobistą dziecka prowadzące do fizycznej i psychicznej szkody, wykraczające poza społeczne zasady wzajemnych relacji.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przedszkolu obowiązuje zasada, że krzywdzone dziecko ma prawo oczekiwać pomocy ze strony społeczności przedszkolnej, a reagowanie na czyjąś krzywdę nie jest ani skarżeniem, ani donosicielstwem, ale moralnym obowiązkiem każdego dziecka i pracownika. Dzieci znają konsekwencje przemocy jaką ponosi ofiara i wiedzą, że każda reakcja obronna jest ważna.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Dzieci są uczone konstruktywnej wolnej od agresji reakcji na przemoc rówieśniczą.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q2p2udyaoe0f" w:id="3"/>
      <w:bookmarkEnd w:id="3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 niedozwolone zachowania pomiędzy dziećmi, uznaje się: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wyśmiewanie, przezywanie i rozpowszechnianie upokarzających informacji, złośliwe komentarze, w szczególności na temat wyglądu;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izolowanie lub wykluczanie dziecka z grupy;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bicie, kopanie, szarpanie, zadawanie bólu;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niszczenie lub zabór własności;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zmuszanie do wykonywania określonych czynności, groźby, szantaż emocjonalny;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2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inne, niespecyficzne formy przemocy odczuwane przez ofiarę jako krzywdzące.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przedszkolu obowiązuje zasada reagowania na każde zdarzenie zachowania dziecka uznanego jako niedozwolone.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Dziecko, które jest świadkiem niedozwolonego zachowania innego dziecka i nie czuje się na siłach by go powstrzymać, ma obowiązek jak najszybciej zgłosić to zdarzenie do obecnego w pobliżu nauczyciela lub innego pracownika przedszkola.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Dziecko, które podejrzewa przemoc wobec innego dziecka jest zobowiązane przekazać tę informację wychowawcy lub innemu nauczycielowi.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Pracownicy przedszkola mają obowiązek reagować na każde zdarzenie niedozwolonego zachowanie dziecka.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Osobą odpowiedzialną za przyjmowanie zgłoszeń o niedozwolonych </w:t>
      </w:r>
      <w:r w:rsidDel="00000000" w:rsidR="00000000" w:rsidRPr="00000000">
        <w:rPr>
          <w:sz w:val="24"/>
          <w:szCs w:val="24"/>
          <w:rtl w:val="0"/>
        </w:rPr>
        <w:t xml:space="preserve">zachowaniach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dzieci przyjmuje koordynator ochrony dzieci przed krzywdzeniem w trybie określonym w Rozdział V – „Osoby odpowiedzialne za przyjmowanie zgłoszeń o zdarzeniach zagrażających dzieciom.”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Tryb udzielenia wsparcia dzieciom będącym ofiarami niedozwolonego zachowania dziecka lub grupy dzieci, określa Rozdział VI standardów - „Zasady i procedura podejmowania interwencji w sytuacji podejrzenia krzywdzenia lub posiadania informacji o krzywdzeniu dziecka.”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0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center"/>
        <w:rPr>
          <w:b w:val="1"/>
          <w:bCs w:val="1"/>
          <w:sz w:val="24"/>
          <w:szCs w:val="24"/>
        </w:rPr>
      </w:pPr>
      <w:bookmarkStart w:colFirst="0" w:colLast="0" w:name="_heading=h.19ppmadh35i2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Rozdział V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Osoby odpowiedzialne za przyjmowanie zgłoszeń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zdarzeniach zagrażających dzieciom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Koordynatorem ochrony dzieci przed krzywdzeniem jest psycholog , zwany dalej „koordynatorem”. W przypadku nieobecności koordynatora jego obowiązki pełni wskazany przez dyrektora nauczyciel lub dyrektor.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Obowiązkiem koordynatora jest przyjmowanie zgłoszeń o zdarzeniach wskazujących na podejrzenie krzywdzenia dziecka - w formie pisemnej.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Uprawnionym do zgłoszenia podejrzenia krzywdzenia dziecka jest każdy kto powziął </w:t>
      </w:r>
      <w:r w:rsidDel="00000000" w:rsidR="00000000" w:rsidRPr="00000000">
        <w:rPr>
          <w:sz w:val="24"/>
          <w:szCs w:val="24"/>
          <w:rtl w:val="0"/>
        </w:rPr>
        <w:t xml:space="preserve">taką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informację i ma obowiązek zgłoszenia każdego zdarzenia o cechach przemocy.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Pracownik, który był świadkiem krzywdzenia dziecka lub powziął informację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krzywdzeniu dziecka i nie zgłosił tego zdarzenia koordynatorowi podlega odpowiedzialności karnej za zaniechanie lub odpowiedzialności dyscyplinarnej za naruszenie praw i dobra dziecka.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Każde zdarzenia należy zgłaszać jak najszybciej, bezpośrednio do koordynatora w formie pisemnej.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Godziny zgłoszeń do koordynatora zgodne są z godzinami pracy psychologa i opublikowane na stronie internetowej przedszkola.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Pisemne zgłoszenie zdarzenia należy adresować do: Koordynatora ochrony dziecka przed krzywdzeniem w Przedszkolu nr 37 w Rybniku na adres przedszkola lub adres e-mail: przedszkole@p37.rybnik.pl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gcraspp3f5kn" w:id="5"/>
      <w:bookmarkEnd w:id="5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Dla każdego zgłoszenia, koordynator sporządza „Protokół interwencji w ochronie dziecka”, którego wzór stanowi załącznik nr 4.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Rozdział VI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heading=h.z5xv2lgqkxbv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Zasady i procedura podejmowania interwencji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heading=h.n5d4lddqmvzr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sytuacji podejrzenia krzywdzenia lub krzywdzenia dziecka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przypadku gdy pracownik w toku bieżącej pracy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rozpozna zdarzenie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wskazujące na krzywdzenie dziecka ma obowiązek podjąć działania wg procedury trzech kroków: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zabezpiecza dziecko przed potencjalnym sprawcą przemocy;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ol0ejsaxsfz3" w:id="8"/>
      <w:bookmarkEnd w:id="8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zabezpiecza dowody przemocy i niezwłocznie zgłasza zdarzenie koordynatorowi;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pozostaje do dyspozycji koordynatora tak długo jak jest to potrzebne dla zabezpieczenia dowodów i potrzeb dziecka oraz sporządzenia dokumentacji zdarzenia.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przypadku gdy pracownik w toku bieżącej pracy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rozpozna objawy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wskazujące na przemoc w rodzinie, w tym przemoc polegającą na zaniedbaniu środowiskowym ma obowiązek zgłosić sprawę do koordynatora. Jeżeli w sprawie są dowody pracownik zobowiązany jest je zabezpieczyć i przekazać koordynatorowi.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Protokół interwencji w ochronie dziecka wszczyna postępowanie wyjaśniające, w sprawie, które prowadzi i dokumentuje koordynator.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ramach postępowania wyjaśniającego zdarzenia, koordynator ma prawo przeprowadzać rozmowy z pracownikami szkoły, uczniami i rodzicami </w:t>
        <w:br w:type="textWrapping"/>
        <w:t xml:space="preserve">i sporządzać z nich notatki służbowe, oraz zbierać dowody rzeczowe.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ramach kwalifikacji zdarzenia koordynator ma prawo konsultować się </w:t>
        <w:br w:type="textWrapping"/>
        <w:t xml:space="preserve">ze specjalistami i ekspertami niebędącymi pracownikami przedszkola. Korzystając z pomocy instytucji i osób zewnętrznych koordynator zobowiązany jest przestrzegać ochrony danych i wizerunku dzieci.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Postępowanie wyjaśniające ma na celu zebranie dowodów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c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celu zakwalifikowania zdarzenia i stwierdzenia: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514nvt4j3stn" w:id="9"/>
      <w:bookmarkEnd w:id="9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</w:t>
      </w:r>
      <w:r w:rsidDel="00000000" w:rsidR="00000000" w:rsidRPr="00000000">
        <w:rPr>
          <w:sz w:val="24"/>
          <w:szCs w:val="24"/>
          <w:rtl w:val="0"/>
        </w:rPr>
        <w:t xml:space="preserve">postępowaniu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wyjaśniającym ustalono, że zdarzenie miało charakter incydentu i przekazano sprawę do wychowawcy;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</w:t>
      </w:r>
      <w:r w:rsidDel="00000000" w:rsidR="00000000" w:rsidRPr="00000000">
        <w:rPr>
          <w:sz w:val="24"/>
          <w:szCs w:val="24"/>
          <w:rtl w:val="0"/>
        </w:rPr>
        <w:t xml:space="preserve">postępowaniu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wyjaśniającym rozpoznano podejrzenie przemocy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definiowanej jako krzywdzenie dziecka;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29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</w:t>
      </w:r>
      <w:r w:rsidDel="00000000" w:rsidR="00000000" w:rsidRPr="00000000">
        <w:rPr>
          <w:sz w:val="24"/>
          <w:szCs w:val="24"/>
          <w:rtl w:val="0"/>
        </w:rPr>
        <w:t xml:space="preserve">postępowaniu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wyjaśniającym rozpoznano przemoc definiowaną jako krzywdzenie dziecka.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Dziecko, które zostało objęte ochroną przed krzywdzeniem jest z tego tytułu objęte wsparciem w ramach pomocy psychologiczno-pedagogicznej.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Przedszkole obejmuje także wsparciem w ramach pomocy psychologiczno-pedagogicznej dzieci, które były świadkami zdarzenia zakwalifikowanego jako rozpoznana przemoc.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Przedszkole obejmuje także wsparciem w ramach pomocy psychologiczno-pedagogicznej dzieci, które w danym zdarzeniu zostały zakwalifikowane jako sprawcy przemocy.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Tryb wspierania dzieci będących ofiarami, świadkami i sprawcami przemocy odbywa się w ramach pomocy psychologiczno-pedagogicznej – załącznik nr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Koordynator informuje o zdarzeniu rodziców ofiary przemocy, a w przypadku, gdy sprawcą przemocy było dziecko lub grupa dzieci, także rodziców sprawców przemocy.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Po rozpoznaniu sprawy, koordynator w porozumieniu z dyrektorem organizuje spotkanie z rodzicami sprawcy i rodzicami ofiary razem lub odrębnie. W zależności od   charakteru tej przemocy i rozmiaru krzywdy dziecka, a także potrzeby zadbania o godność ofiary przemocy. Zdarzenie może być przedmiotem omówienia go (anonimowego na prośbę rodzica) z ogółem rodziców dzieci, które były świadkami przemocy.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Rozdział VII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Procedury i osoby odpowiedzialne za składanie zawiadomień o podejrzeniu popełnienia przestępstwa na szkodę ucznia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W przypadku gdy u dziecka objętego ochroną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stwierdza się, że jego życie jest zagrożone lub grozi mu ciężki uszczerbek na zdrowiu, koordynator za zgodą dyrektora lub sam dyrektor, a w przypadku gdy jest potrzeba natychmiastowego działania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każdy pracownik obecny przy zdarzeniu niezwłocznie informuje policję i pogotowie ratunkowe, dzwoniąc pod numer 112. Kolejne kroki postępowania w tej sytuacji leżą w kompetencjach ww. instytucji. W takiej sytuacji przedszkole obejmuje skrzywdzone dziecko i jego rodziców pomocą psychologiczno-pedagogiczną. W przypadku gdy sprawcą krzywdzenia dziecka jest pracownik przedszkola, dyrektor dodatkowo podejmuje decyzje kadrowe adekwatne do oceny zdarzenia.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W przypadku gdy w sprawie dziecka objętego ochroną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zachodzi podejrzenie </w:t>
        <w:br w:type="textWrapping"/>
        <w:t xml:space="preserve">o popełnieniu przestępstwa na szkodę tego dziecka, koordynator za zgoda dyrektora lub sam dyrektor składa zawiadomienie na policję lub do prokuratury.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W przypadku gdy sprawcą krzywdzenia dziecka jest pracownik przedszkola, dyrektor dodatkowo podejmuje decyzje kadrowe adekwatne do oceny zdarzenia.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W przypadku gdy w sprawie dziecka objętego ochroną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zachodzi prawdopodobieństwo, że sprawcami krzywdzenia dziecka są rodzice, koordynator za zgoda dyrektora lub sam dyrektor powiadamia policję, sąd rodzinny, ośrodek pomocy społecznej, a także przewodniczącego lokalnego zespołu interdyscyplinarnego w celu wszczęcia procedury Niebieskie Karty.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130.99999999999994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Rozdział VIII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130.99999999999994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Sposób dokumentowania i zasady przechowywania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130.99999999999994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ujawnionych lub zgłoszonych zdarzeń zagrażających dobru dziecka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130.99999999999994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Zdarzenia zakwalifikowane w protokole interwencji jako incydent wprowadza się do rejestru zdarzeń i przekazuje do wychowawcy w celu obserwacji.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Wszystkie dokumenty związane ze zdarzeniami zakwalifikowanymi jako podejrzenie krzywdzenia dziecka lub krzywdzenie dziecka koordynator umieszcza w teczce ochrony dziecka przed krzywdzeniem, która zawiera: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pisemne zgłoszenie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protokół interwencji w ochronie dziecka;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dokumentacja postępowania wyjaśniającego zdarzenie;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korespondencja z organami zewnętrznymi w sprawie;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dokumentacja zapoznania rodziców z materiałem zebranym w sprawie dziecka;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inna dokumentacja wytworzona na potrzeby ochrony dziecka.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 teczce koordynator prowadzi rejestr zdarzeń o charakterze przemocy na każdy rok szkolny odrębnie, wzór rejestru stanowi załącznik nr 6.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Teczka ochrony ucznia przed krzywdzeniem jest zabezpieczona.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Rozdział IX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Zasady przeglądu i aktualizacji standardów</w:t>
      </w:r>
    </w:p>
    <w:p w:rsidR="00000000" w:rsidDel="00000000" w:rsidP="00000000" w:rsidRDefault="00000000" w:rsidRPr="00000000" w14:paraId="000000A0">
      <w:pPr>
        <w:spacing w:line="36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Koordynator ochrony dzieci przed krzywdzeniem raz w roku w maju przeprowadza ankietę wśród pracowników, która ma za zadanie dać informację o ocenie skuteczności standardów ochrony dzieci w przedszkolu. Wyniki ankiety prezentuje się w sprawozdaniu koordynatora, o którym mowa w ust. 2.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Koordynator na posiedzeniu rady pedagogicznej podsumowującej rok szkolny przedstawia sprawozdanie z realizacji standardów ochrony uczniów przed krzywdzeniem, w tym ocenę skuteczności podejmowanych działań i wnioski do aktualizacji standardów.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Sprawozdanie, o którym mowa w ust.1 zawiera następujące informacje: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8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liczba zdarzeń;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8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z0irfjkr2gdt" w:id="10"/>
      <w:bookmarkEnd w:id="1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liczba zdarzeń, które zakwalifikowano jako podejrzenie krzywdzenia dziecka </w:t>
        <w:br w:type="textWrapping"/>
        <w:t xml:space="preserve">z podziałem na rodzaj przemocy (fizyczna, psychiczna, seksualna, cyberprzemoc, zaniedbanie) oraz kategoria sprawcy (pracownik, dziecko/grupa dzieci, rodzic);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8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liczba zdarzeń, które zakwalifikowano jako krzywdzenie dziecka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8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 podziałem na rodzaj przemocy (fizyczna, psychiczna, seksualna, cyberprzemoc, zaniedbanie) oraz kategoria sprawcy (pracownik, dziecko/grupa dzieci, rodzic);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8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informacja, ile spraw przedszkole prowadzi samodzielnie, a ile zostało skierowanych do instytucji zewnętrznych i jakich?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208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ocena skuteczności przedszkola w zakresie profilaktyki wykrywania zdarzeń krzywdzenia dziecka na podstawie wyników ankiety, o której mowa w ust. 1.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Rada Pedagogiczna po wysłuchaniu sprawozdania, o którym mowa w ust.3 może sformułować wnioski do dalszych działań. 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Rozdział X</w:t>
      </w:r>
    </w:p>
    <w:p w:rsidR="00000000" w:rsidDel="00000000" w:rsidP="00000000" w:rsidRDefault="00000000" w:rsidRPr="00000000" w14:paraId="000000AD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Zakres kompetencji osoby odpowiedzialnej za przygotowanie pracowników przedszkola do stosowania standardów, zasady przygotowania pracowników do ich stosowania oraz sposób dokumentowania tej czynności</w:t>
      </w:r>
    </w:p>
    <w:p w:rsidR="00000000" w:rsidDel="00000000" w:rsidP="00000000" w:rsidRDefault="00000000" w:rsidRPr="00000000" w14:paraId="000000AE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Przygotowanie pracowników przedszkola do stosowania „Standardów ochrony małoletnich   w Przedszkolu nr 37 w Rybniku” odbędzie się w formie obowiązkowego szkolenia dla pracowników, na które składa się: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prezentacja przyjętych standardów i wyjaśnienie zasady ich stosowania w przedszkolu;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instruktaż rozpoznawania przemocy i reagowania na nią;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zapoznania pracowników z ewidencją i dokumentacją zdarzeń.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pm8itml8yjga" w:id="11"/>
      <w:bookmarkEnd w:id="1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Obecność na szkoleniu, o którym mowa w ust. 1 pracownik odnotowuje na liście obecności własnoręcznym podpisem. Każdy pracownik uczestniczący w szkoleniu otrzymuje materiały szkoleniowe i zaświadczenie o udziale w szkoleniu w przypadku szkolenia zewnętrznego, którego kopia jest przechowywana w aktach osobowych. W aktach osobowych przechowywane jest również Oświadczenie pracownika o zapoznaniu się ze Standardami Ochrony Małoletnich obowiązującymi w Przedszkolu nr 37 w Rybniku.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Pracownik nieobecny na szkoleniu, o którym mowa w ust. 1 i 2 i usprawiedliwiony może odbyć indywidualne szkolenie przeprowadzone przez dyrektora/wicedyrektora lub firmę zewnętrzną.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Uczestnik indywidualnego szkolenia otrzymuje materiały szkoleniowe i zaświadczenie o udziale w szkoleniu zewnętrznym, którego kopia jest przechowywana w aktach osobowych. W aktach osobowych przechowywane jest również Oświadczenie pracownika o zapoznaniu się ze Standardami Ochrony Małoletnich obowiązującymi w Przedszkolu nr 37 w Rybniku.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Za przygotowanie szkoleń o których mowa w ust. 1-4 i ich organizację odpowiada dyrektor oraz koordynator ochrony dzieci przed krzywdzeniem.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Koordynator ma prawo organizować spotkania zespołowe i ogólne pracowników w celu zapoznania ich z nowymi informacjami dotyczącymi ochrony dzieci, w tym w szczególności: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zmianami w „Standardach ochrony małoletnich w Przedszkolu nr 37w Rybniku”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aktualnymi zagrożeniami przemocy w środowisku przedszkolnym w celu wzmożenia nadzoru nad poszczególnymi dziećmi lub grupą dzieci;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zapoznania pracowników z nowymi technikami rozpoznawania przejawów przemocy i reagowania na nie;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Dyrektor ma obowiązek przeszkolić każdego nowo zatrudnionego pracownika w zakresie ochrony dzieci przed krzywdzeniem. W aktach osobowych przechowywane jest Oświadczenie pracownika o zapoznaniu się ze Standardami Ochrony Małoletnich obowiązującymi w Przedszkolu.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Koordynator ma prawo wnioskowania o dodatkowe szkolenia pracowników pogłębiające ich wiedze i umiejętności z zakresu rozpoznawania przemocy, reagowania na zdarzenia i wspierania dzieci doświadczonych przemocą i sprawców przemocy.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Rozdział XI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Zasady i sposób udostępniania rodzicom i dzieciom standardów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do zaznajomienia się z nimi i ich stosowania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6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„Standardy ochrony małoletnich w Przedszkolu nr 37 w Rybniku” są opublikowane w pełnej wersji dla rodziców i nauczycieli, w terminie do 14 sierpnia 2024 r. na stronie internetowej przedszkola w zakładce DOKUMENTY i dostępne w przedszkolu w widocznym miejscu.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Standardy ochrony dzieci w wersji skróconej i dostosowanej do wieku dziecka są dostępne, w terminie do 14 sierpnia 2024 r.  w przedszkolu w widocznym miejscu.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Wychowawcy odpowiedzialni są za zaznajomienie swoich wychowanków i ich rodziców z zasadami ochrony ich przed przemocą w tym bezpiecznych relacji między dziećmi.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57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160" w:line="360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1208" w:right="0" w:hanging="357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1208" w:right="0" w:hanging="357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5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50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26" w:hanging="360"/>
      </w:pPr>
      <w:rPr/>
    </w:lvl>
    <w:lvl w:ilvl="2">
      <w:start w:val="1"/>
      <w:numFmt w:val="lowerRoman"/>
      <w:lvlText w:val="%3."/>
      <w:lvlJc w:val="right"/>
      <w:pPr>
        <w:ind w:left="2946" w:hanging="180"/>
      </w:pPr>
      <w:rPr/>
    </w:lvl>
    <w:lvl w:ilvl="3">
      <w:start w:val="1"/>
      <w:numFmt w:val="decimal"/>
      <w:lvlText w:val="%4."/>
      <w:lvlJc w:val="left"/>
      <w:pPr>
        <w:ind w:left="3666" w:hanging="360"/>
      </w:pPr>
      <w:rPr/>
    </w:lvl>
    <w:lvl w:ilvl="4">
      <w:start w:val="1"/>
      <w:numFmt w:val="lowerLetter"/>
      <w:lvlText w:val="%5."/>
      <w:lvlJc w:val="left"/>
      <w:pPr>
        <w:ind w:left="4386" w:hanging="360"/>
      </w:pPr>
      <w:rPr/>
    </w:lvl>
    <w:lvl w:ilvl="5">
      <w:start w:val="1"/>
      <w:numFmt w:val="lowerRoman"/>
      <w:lvlText w:val="%6."/>
      <w:lvlJc w:val="right"/>
      <w:pPr>
        <w:ind w:left="5106" w:hanging="180"/>
      </w:pPr>
      <w:rPr/>
    </w:lvl>
    <w:lvl w:ilvl="6">
      <w:start w:val="1"/>
      <w:numFmt w:val="decimal"/>
      <w:lvlText w:val="%7."/>
      <w:lvlJc w:val="left"/>
      <w:pPr>
        <w:ind w:left="5826" w:hanging="360"/>
      </w:pPr>
      <w:rPr/>
    </w:lvl>
    <w:lvl w:ilvl="7">
      <w:start w:val="1"/>
      <w:numFmt w:val="lowerLetter"/>
      <w:lvlText w:val="%8."/>
      <w:lvlJc w:val="left"/>
      <w:pPr>
        <w:ind w:left="6546" w:hanging="360"/>
      </w:pPr>
      <w:rPr/>
    </w:lvl>
    <w:lvl w:ilvl="8">
      <w:start w:val="1"/>
      <w:numFmt w:val="lowerRoman"/>
      <w:lvlText w:val="%9."/>
      <w:lvlJc w:val="right"/>
      <w:pPr>
        <w:ind w:left="7266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2226" w:hanging="360"/>
      </w:pPr>
      <w:rPr/>
    </w:lvl>
    <w:lvl w:ilvl="1">
      <w:start w:val="1"/>
      <w:numFmt w:val="lowerLetter"/>
      <w:lvlText w:val="%2."/>
      <w:lvlJc w:val="left"/>
      <w:pPr>
        <w:ind w:left="2946" w:hanging="360"/>
      </w:pPr>
      <w:rPr/>
    </w:lvl>
    <w:lvl w:ilvl="2">
      <w:start w:val="1"/>
      <w:numFmt w:val="lowerRoman"/>
      <w:lvlText w:val="%3."/>
      <w:lvlJc w:val="right"/>
      <w:pPr>
        <w:ind w:left="3666" w:hanging="180"/>
      </w:pPr>
      <w:rPr/>
    </w:lvl>
    <w:lvl w:ilvl="3">
      <w:start w:val="1"/>
      <w:numFmt w:val="decimal"/>
      <w:lvlText w:val="%4."/>
      <w:lvlJc w:val="left"/>
      <w:pPr>
        <w:ind w:left="4386" w:hanging="360"/>
      </w:pPr>
      <w:rPr/>
    </w:lvl>
    <w:lvl w:ilvl="4">
      <w:start w:val="1"/>
      <w:numFmt w:val="lowerLetter"/>
      <w:lvlText w:val="%5."/>
      <w:lvlJc w:val="left"/>
      <w:pPr>
        <w:ind w:left="5106" w:hanging="360"/>
      </w:pPr>
      <w:rPr/>
    </w:lvl>
    <w:lvl w:ilvl="5">
      <w:start w:val="1"/>
      <w:numFmt w:val="lowerRoman"/>
      <w:lvlText w:val="%6."/>
      <w:lvlJc w:val="right"/>
      <w:pPr>
        <w:ind w:left="5826" w:hanging="180"/>
      </w:pPr>
      <w:rPr/>
    </w:lvl>
    <w:lvl w:ilvl="6">
      <w:start w:val="1"/>
      <w:numFmt w:val="decimal"/>
      <w:lvlText w:val="%7."/>
      <w:lvlJc w:val="left"/>
      <w:pPr>
        <w:ind w:left="6546" w:hanging="360"/>
      </w:pPr>
      <w:rPr/>
    </w:lvl>
    <w:lvl w:ilvl="7">
      <w:start w:val="1"/>
      <w:numFmt w:val="lowerLetter"/>
      <w:lvlText w:val="%8."/>
      <w:lvlJc w:val="left"/>
      <w:pPr>
        <w:ind w:left="7266" w:hanging="360"/>
      </w:pPr>
      <w:rPr/>
    </w:lvl>
    <w:lvl w:ilvl="8">
      <w:start w:val="1"/>
      <w:numFmt w:val="lowerRoman"/>
      <w:lvlText w:val="%9."/>
      <w:lvlJc w:val="right"/>
      <w:pPr>
        <w:ind w:left="7986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57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2291" w:hanging="360"/>
      </w:pPr>
      <w:rPr/>
    </w:lvl>
    <w:lvl w:ilvl="1">
      <w:start w:val="1"/>
      <w:numFmt w:val="lowerLetter"/>
      <w:lvlText w:val="%2."/>
      <w:lvlJc w:val="left"/>
      <w:pPr>
        <w:ind w:left="3011" w:hanging="360"/>
      </w:pPr>
      <w:rPr/>
    </w:lvl>
    <w:lvl w:ilvl="2">
      <w:start w:val="1"/>
      <w:numFmt w:val="lowerRoman"/>
      <w:lvlText w:val="%3."/>
      <w:lvlJc w:val="right"/>
      <w:pPr>
        <w:ind w:left="3731" w:hanging="180"/>
      </w:pPr>
      <w:rPr/>
    </w:lvl>
    <w:lvl w:ilvl="3">
      <w:start w:val="1"/>
      <w:numFmt w:val="decimal"/>
      <w:lvlText w:val="%4."/>
      <w:lvlJc w:val="left"/>
      <w:pPr>
        <w:ind w:left="4451" w:hanging="360"/>
      </w:pPr>
      <w:rPr/>
    </w:lvl>
    <w:lvl w:ilvl="4">
      <w:start w:val="1"/>
      <w:numFmt w:val="lowerLetter"/>
      <w:lvlText w:val="%5."/>
      <w:lvlJc w:val="left"/>
      <w:pPr>
        <w:ind w:left="5171" w:hanging="360"/>
      </w:pPr>
      <w:rPr/>
    </w:lvl>
    <w:lvl w:ilvl="5">
      <w:start w:val="1"/>
      <w:numFmt w:val="lowerRoman"/>
      <w:lvlText w:val="%6."/>
      <w:lvlJc w:val="right"/>
      <w:pPr>
        <w:ind w:left="5891" w:hanging="180"/>
      </w:pPr>
      <w:rPr/>
    </w:lvl>
    <w:lvl w:ilvl="6">
      <w:start w:val="1"/>
      <w:numFmt w:val="decimal"/>
      <w:lvlText w:val="%7."/>
      <w:lvlJc w:val="left"/>
      <w:pPr>
        <w:ind w:left="6611" w:hanging="360"/>
      </w:pPr>
      <w:rPr/>
    </w:lvl>
    <w:lvl w:ilvl="7">
      <w:start w:val="1"/>
      <w:numFmt w:val="lowerLetter"/>
      <w:lvlText w:val="%8."/>
      <w:lvlJc w:val="left"/>
      <w:pPr>
        <w:ind w:left="7331" w:hanging="360"/>
      </w:pPr>
      <w:rPr/>
    </w:lvl>
    <w:lvl w:ilvl="8">
      <w:start w:val="1"/>
      <w:numFmt w:val="lowerRoman"/>
      <w:lvlText w:val="%9."/>
      <w:lvlJc w:val="right"/>
      <w:pPr>
        <w:ind w:left="8051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i w:val="0"/>
        <w:iCs w:val="0"/>
        <w:color w:val="000000"/>
      </w:rPr>
    </w:lvl>
    <w:lvl w:ilvl="1">
      <w:start w:val="0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229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011" w:hanging="360"/>
      </w:pPr>
      <w:rPr/>
    </w:lvl>
    <w:lvl w:ilvl="2">
      <w:start w:val="1"/>
      <w:numFmt w:val="lowerRoman"/>
      <w:lvlText w:val="%3."/>
      <w:lvlJc w:val="right"/>
      <w:pPr>
        <w:ind w:left="3731" w:hanging="180"/>
      </w:pPr>
      <w:rPr/>
    </w:lvl>
    <w:lvl w:ilvl="3">
      <w:start w:val="1"/>
      <w:numFmt w:val="decimal"/>
      <w:lvlText w:val="%4."/>
      <w:lvlJc w:val="left"/>
      <w:pPr>
        <w:ind w:left="4451" w:hanging="360"/>
      </w:pPr>
      <w:rPr/>
    </w:lvl>
    <w:lvl w:ilvl="4">
      <w:start w:val="1"/>
      <w:numFmt w:val="lowerLetter"/>
      <w:lvlText w:val="%5."/>
      <w:lvlJc w:val="left"/>
      <w:pPr>
        <w:ind w:left="5171" w:hanging="360"/>
      </w:pPr>
      <w:rPr/>
    </w:lvl>
    <w:lvl w:ilvl="5">
      <w:start w:val="1"/>
      <w:numFmt w:val="lowerRoman"/>
      <w:lvlText w:val="%6."/>
      <w:lvlJc w:val="right"/>
      <w:pPr>
        <w:ind w:left="5891" w:hanging="180"/>
      </w:pPr>
      <w:rPr/>
    </w:lvl>
    <w:lvl w:ilvl="6">
      <w:start w:val="1"/>
      <w:numFmt w:val="decimal"/>
      <w:lvlText w:val="%7."/>
      <w:lvlJc w:val="left"/>
      <w:pPr>
        <w:ind w:left="6611" w:hanging="360"/>
      </w:pPr>
      <w:rPr/>
    </w:lvl>
    <w:lvl w:ilvl="7">
      <w:start w:val="1"/>
      <w:numFmt w:val="lowerLetter"/>
      <w:lvlText w:val="%8."/>
      <w:lvlJc w:val="left"/>
      <w:pPr>
        <w:ind w:left="7331" w:hanging="360"/>
      </w:pPr>
      <w:rPr/>
    </w:lvl>
    <w:lvl w:ilvl="8">
      <w:start w:val="1"/>
      <w:numFmt w:val="lowerRoman"/>
      <w:lvlText w:val="%9."/>
      <w:lvlJc w:val="right"/>
      <w:pPr>
        <w:ind w:left="8051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ind w:left="2291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1571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1636" w:hanging="360"/>
      </w:pPr>
      <w:rPr/>
    </w:lvl>
    <w:lvl w:ilvl="1">
      <w:start w:val="1"/>
      <w:numFmt w:val="lowerLetter"/>
      <w:lvlText w:val="%2."/>
      <w:lvlJc w:val="left"/>
      <w:pPr>
        <w:ind w:left="2226" w:hanging="360"/>
      </w:pPr>
      <w:rPr/>
    </w:lvl>
    <w:lvl w:ilvl="2">
      <w:start w:val="1"/>
      <w:numFmt w:val="lowerRoman"/>
      <w:lvlText w:val="%3."/>
      <w:lvlJc w:val="right"/>
      <w:pPr>
        <w:ind w:left="2946" w:hanging="180"/>
      </w:pPr>
      <w:rPr/>
    </w:lvl>
    <w:lvl w:ilvl="3">
      <w:start w:val="1"/>
      <w:numFmt w:val="decimal"/>
      <w:lvlText w:val="%4."/>
      <w:lvlJc w:val="left"/>
      <w:pPr>
        <w:ind w:left="3666" w:hanging="360"/>
      </w:pPr>
      <w:rPr/>
    </w:lvl>
    <w:lvl w:ilvl="4">
      <w:start w:val="1"/>
      <w:numFmt w:val="lowerLetter"/>
      <w:lvlText w:val="%5."/>
      <w:lvlJc w:val="left"/>
      <w:pPr>
        <w:ind w:left="4386" w:hanging="360"/>
      </w:pPr>
      <w:rPr/>
    </w:lvl>
    <w:lvl w:ilvl="5">
      <w:start w:val="1"/>
      <w:numFmt w:val="lowerRoman"/>
      <w:lvlText w:val="%6."/>
      <w:lvlJc w:val="right"/>
      <w:pPr>
        <w:ind w:left="5106" w:hanging="180"/>
      </w:pPr>
      <w:rPr/>
    </w:lvl>
    <w:lvl w:ilvl="6">
      <w:start w:val="1"/>
      <w:numFmt w:val="decimal"/>
      <w:lvlText w:val="%7."/>
      <w:lvlJc w:val="left"/>
      <w:pPr>
        <w:ind w:left="5826" w:hanging="360"/>
      </w:pPr>
      <w:rPr/>
    </w:lvl>
    <w:lvl w:ilvl="7">
      <w:start w:val="1"/>
      <w:numFmt w:val="lowerLetter"/>
      <w:lvlText w:val="%8."/>
      <w:lvlJc w:val="left"/>
      <w:pPr>
        <w:ind w:left="6546" w:hanging="360"/>
      </w:pPr>
      <w:rPr/>
    </w:lvl>
    <w:lvl w:ilvl="8">
      <w:start w:val="1"/>
      <w:numFmt w:val="lowerRoman"/>
      <w:lvlText w:val="%9."/>
      <w:lvlJc w:val="right"/>
      <w:pPr>
        <w:ind w:left="7266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8">
    <w:lvl w:ilvl="0">
      <w:start w:val="1"/>
      <w:numFmt w:val="decimal"/>
      <w:lvlText w:val="%1)"/>
      <w:lvlJc w:val="left"/>
      <w:pPr>
        <w:ind w:left="1647" w:hanging="360"/>
      </w:pPr>
      <w:rPr/>
    </w:lvl>
    <w:lvl w:ilvl="1">
      <w:start w:val="1"/>
      <w:numFmt w:val="lowerLetter"/>
      <w:lvlText w:val="%2."/>
      <w:lvlJc w:val="left"/>
      <w:pPr>
        <w:ind w:left="2367" w:hanging="360"/>
      </w:pPr>
      <w:rPr/>
    </w:lvl>
    <w:lvl w:ilvl="2">
      <w:start w:val="1"/>
      <w:numFmt w:val="lowerRoman"/>
      <w:lvlText w:val="%3."/>
      <w:lvlJc w:val="right"/>
      <w:pPr>
        <w:ind w:left="3087" w:hanging="180"/>
      </w:pPr>
      <w:rPr/>
    </w:lvl>
    <w:lvl w:ilvl="3">
      <w:start w:val="1"/>
      <w:numFmt w:val="decimal"/>
      <w:lvlText w:val="%4."/>
      <w:lvlJc w:val="left"/>
      <w:pPr>
        <w:ind w:left="3807" w:hanging="360"/>
      </w:pPr>
      <w:rPr/>
    </w:lvl>
    <w:lvl w:ilvl="4">
      <w:start w:val="1"/>
      <w:numFmt w:val="lowerLetter"/>
      <w:lvlText w:val="%5."/>
      <w:lvlJc w:val="left"/>
      <w:pPr>
        <w:ind w:left="4527" w:hanging="360"/>
      </w:pPr>
      <w:rPr/>
    </w:lvl>
    <w:lvl w:ilvl="5">
      <w:start w:val="1"/>
      <w:numFmt w:val="lowerRoman"/>
      <w:lvlText w:val="%6."/>
      <w:lvlJc w:val="right"/>
      <w:pPr>
        <w:ind w:left="5247" w:hanging="180"/>
      </w:pPr>
      <w:rPr/>
    </w:lvl>
    <w:lvl w:ilvl="6">
      <w:start w:val="1"/>
      <w:numFmt w:val="decimal"/>
      <w:lvlText w:val="%7."/>
      <w:lvlJc w:val="left"/>
      <w:pPr>
        <w:ind w:left="5967" w:hanging="360"/>
      </w:pPr>
      <w:rPr/>
    </w:lvl>
    <w:lvl w:ilvl="7">
      <w:start w:val="1"/>
      <w:numFmt w:val="lowerLetter"/>
      <w:lvlText w:val="%8."/>
      <w:lvlJc w:val="left"/>
      <w:pPr>
        <w:ind w:left="6687" w:hanging="360"/>
      </w:pPr>
      <w:rPr/>
    </w:lvl>
    <w:lvl w:ilvl="8">
      <w:start w:val="1"/>
      <w:numFmt w:val="lowerRoman"/>
      <w:lvlText w:val="%9."/>
      <w:lvlJc w:val="right"/>
      <w:pPr>
        <w:ind w:left="7407" w:hanging="180"/>
      </w:pPr>
      <w:rPr/>
    </w:lvl>
  </w:abstractNum>
  <w:abstractNum w:abstractNumId="19">
    <w:lvl w:ilvl="0">
      <w:start w:val="1"/>
      <w:numFmt w:val="decimal"/>
      <w:lvlText w:val="%1)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20">
    <w:lvl w:ilvl="0">
      <w:start w:val="1"/>
      <w:numFmt w:val="decimal"/>
      <w:lvlText w:val="%1)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21">
    <w:lvl w:ilvl="0">
      <w:start w:val="1"/>
      <w:numFmt w:val="decimal"/>
      <w:lvlText w:val="%1)"/>
      <w:lvlJc w:val="left"/>
      <w:pPr>
        <w:ind w:left="1571" w:hanging="360"/>
      </w:pPr>
      <w:rPr/>
    </w:lvl>
    <w:lvl w:ilvl="1">
      <w:start w:val="1"/>
      <w:numFmt w:val="lowerLetter"/>
      <w:lvlText w:val="%2."/>
      <w:lvlJc w:val="left"/>
      <w:pPr>
        <w:ind w:left="2291" w:hanging="360"/>
      </w:pPr>
      <w:rPr/>
    </w:lvl>
    <w:lvl w:ilvl="2">
      <w:start w:val="1"/>
      <w:numFmt w:val="lowerRoman"/>
      <w:lvlText w:val="%3."/>
      <w:lvlJc w:val="right"/>
      <w:pPr>
        <w:ind w:left="3011" w:hanging="180"/>
      </w:pPr>
      <w:rPr/>
    </w:lvl>
    <w:lvl w:ilvl="3">
      <w:start w:val="1"/>
      <w:numFmt w:val="decimal"/>
      <w:lvlText w:val="%4."/>
      <w:lvlJc w:val="left"/>
      <w:pPr>
        <w:ind w:left="3731" w:hanging="360"/>
      </w:pPr>
      <w:rPr/>
    </w:lvl>
    <w:lvl w:ilvl="4">
      <w:start w:val="1"/>
      <w:numFmt w:val="lowerLetter"/>
      <w:lvlText w:val="%5."/>
      <w:lvlJc w:val="left"/>
      <w:pPr>
        <w:ind w:left="4451" w:hanging="360"/>
      </w:pPr>
      <w:rPr/>
    </w:lvl>
    <w:lvl w:ilvl="5">
      <w:start w:val="1"/>
      <w:numFmt w:val="lowerRoman"/>
      <w:lvlText w:val="%6."/>
      <w:lvlJc w:val="right"/>
      <w:pPr>
        <w:ind w:left="5171" w:hanging="180"/>
      </w:pPr>
      <w:rPr/>
    </w:lvl>
    <w:lvl w:ilvl="6">
      <w:start w:val="1"/>
      <w:numFmt w:val="decimal"/>
      <w:lvlText w:val="%7."/>
      <w:lvlJc w:val="left"/>
      <w:pPr>
        <w:ind w:left="5891" w:hanging="360"/>
      </w:pPr>
      <w:rPr/>
    </w:lvl>
    <w:lvl w:ilvl="7">
      <w:start w:val="1"/>
      <w:numFmt w:val="lowerLetter"/>
      <w:lvlText w:val="%8."/>
      <w:lvlJc w:val="left"/>
      <w:pPr>
        <w:ind w:left="6611" w:hanging="360"/>
      </w:pPr>
      <w:rPr/>
    </w:lvl>
    <w:lvl w:ilvl="8">
      <w:start w:val="1"/>
      <w:numFmt w:val="lowerRoman"/>
      <w:lvlText w:val="%9."/>
      <w:lvlJc w:val="right"/>
      <w:pPr>
        <w:ind w:left="7331" w:hanging="180"/>
      </w:pPr>
      <w:rPr/>
    </w:lvl>
  </w:abstractNum>
  <w:abstractNum w:abstractNumId="2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4">
    <w:lvl w:ilvl="0">
      <w:start w:val="1"/>
      <w:numFmt w:val="upp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ind w:left="1208" w:hanging="357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5lGRH3ZvZ91xGUsbiu9dYeKNQ==">CgMxLjAyDmguZG8zaHB5ZmswMXcyMg5oLnB4bTBianB5OHN2czIOaC53MmYxOWI5bTY3bzIyDmgucTJwMnVkeWFvZTBmMg5oLjE5cHBtYWRoMzVpMjIOaC5nY3Jhc3BwM2Y1a24yDmguejV4djJsZ3FreGJ2Mg5oLm41ZDRsZGRxbXZ6cjIOaC5vbDBlanNheHNmejMyDmguNTE0bnZ0NGozc3RuMg5oLnowaXJmamtyMmdkdDIOaC5wbThpdG1sOHlqZ2E4AHIhMVZ6ZTIxa3Q1RUtxcm5PdDczbENwdzI1QjhaWlR0ek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